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78062C39" w:rsidR="008D267A" w:rsidRPr="00ED7526" w:rsidRDefault="008C03C3" w:rsidP="00481EED">
      <w:pPr>
        <w:pStyle w:val="02Nomdulot"/>
        <w:keepLines/>
        <w:shd w:val="clear" w:color="auto" w:fill="E09926" w:themeFill="accent2"/>
        <w:spacing w:before="0" w:after="500"/>
        <w:ind w:left="57" w:right="0"/>
        <w:rPr>
          <w:rFonts w:ascii="Arial Gras" w:hAnsi="Arial Gras"/>
          <w:caps/>
          <w:spacing w:val="-2"/>
          <w:sz w:val="39"/>
          <w:szCs w:val="39"/>
        </w:rPr>
      </w:pPr>
      <w:r w:rsidRPr="00ED7526">
        <w:rPr>
          <w:rFonts w:ascii="Arial Gras" w:hAnsi="Arial Gras"/>
          <w:caps/>
          <w:spacing w:val="-2"/>
          <w:sz w:val="39"/>
          <w:szCs w:val="39"/>
        </w:rPr>
        <w:t xml:space="preserve">Assurance </w:t>
      </w:r>
      <w:r w:rsidRPr="00ED7526">
        <w:rPr>
          <w:rFonts w:ascii="Arial Gras" w:hAnsi="Arial Gras"/>
          <w:caps/>
          <w:spacing w:val="-2"/>
          <w:sz w:val="39"/>
          <w:szCs w:val="39"/>
        </w:rPr>
        <w:br/>
      </w:r>
      <w:r w:rsidR="008F0AE7" w:rsidRPr="00ED7526">
        <w:rPr>
          <w:rFonts w:ascii="Arial Gras" w:hAnsi="Arial Gras"/>
          <w:caps/>
          <w:spacing w:val="-2"/>
          <w:sz w:val="39"/>
          <w:szCs w:val="39"/>
        </w:rPr>
        <w:t>Tous dommages aux objets précieux et/ou d’exposition</w:t>
      </w:r>
    </w:p>
    <w:p w14:paraId="0DF2EB0B" w14:textId="65769F2F" w:rsidR="009B1216" w:rsidRPr="00ED7526" w:rsidRDefault="009B1216" w:rsidP="00481EED">
      <w:pPr>
        <w:pStyle w:val="03Numlot"/>
        <w:keepLines/>
        <w:spacing w:before="360" w:after="500"/>
        <w:ind w:right="0"/>
        <w:rPr>
          <w:b/>
          <w:sz w:val="38"/>
          <w:szCs w:val="38"/>
        </w:rPr>
      </w:pPr>
      <w:r w:rsidRPr="00ED7526">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rsidRPr="00ED7526" w14:paraId="58B0A4EB" w14:textId="77777777" w:rsidTr="003C638C">
        <w:tc>
          <w:tcPr>
            <w:tcW w:w="9284" w:type="dxa"/>
          </w:tcPr>
          <w:p w14:paraId="0795C926" w14:textId="77777777" w:rsidR="008D267A" w:rsidRPr="00ED7526" w:rsidRDefault="008D267A" w:rsidP="00481EED">
            <w:pPr>
              <w:keepLines/>
              <w:spacing w:before="200" w:after="200"/>
              <w:jc w:val="center"/>
              <w:rPr>
                <w:b/>
                <w:bCs/>
                <w:sz w:val="28"/>
                <w:szCs w:val="28"/>
              </w:rPr>
            </w:pPr>
            <w:r w:rsidRPr="00ED7526">
              <w:rPr>
                <w:b/>
                <w:bCs/>
                <w:sz w:val="28"/>
                <w:szCs w:val="28"/>
              </w:rPr>
              <w:t>AVERTISSEMENT</w:t>
            </w:r>
          </w:p>
          <w:p w14:paraId="1852663D" w14:textId="77777777" w:rsidR="008D267A" w:rsidRPr="00ED7526" w:rsidRDefault="008D267A" w:rsidP="00481EED">
            <w:pPr>
              <w:keepLines/>
              <w:rPr>
                <w:sz w:val="22"/>
                <w:szCs w:val="22"/>
              </w:rPr>
            </w:pPr>
            <w:r w:rsidRPr="00ED7526">
              <w:rPr>
                <w:sz w:val="22"/>
                <w:szCs w:val="22"/>
              </w:rPr>
              <w:t>Le présent questionnaire ne constitue pas un engagement à souscrire un contrat d'assurance et reste strictement confidentiel.</w:t>
            </w:r>
          </w:p>
          <w:p w14:paraId="2C28E4D0" w14:textId="77777777" w:rsidR="008D267A" w:rsidRPr="00ED7526" w:rsidRDefault="008D267A" w:rsidP="00481EED">
            <w:pPr>
              <w:keepNext/>
              <w:keepLines/>
              <w:rPr>
                <w:sz w:val="22"/>
                <w:szCs w:val="22"/>
              </w:rPr>
            </w:pPr>
            <w:r w:rsidRPr="00ED7526">
              <w:rPr>
                <w:sz w:val="22"/>
                <w:szCs w:val="22"/>
              </w:rPr>
              <w:t>Le soussigné déclare :</w:t>
            </w:r>
          </w:p>
          <w:p w14:paraId="37DED14F" w14:textId="77777777" w:rsidR="008D267A" w:rsidRPr="00ED7526" w:rsidRDefault="008D267A" w:rsidP="00481EED">
            <w:pPr>
              <w:pStyle w:val="Paragraphedeliste"/>
              <w:keepLines/>
              <w:numPr>
                <w:ilvl w:val="0"/>
                <w:numId w:val="17"/>
              </w:numPr>
              <w:ind w:left="714" w:hanging="357"/>
              <w:rPr>
                <w:sz w:val="22"/>
                <w:szCs w:val="22"/>
              </w:rPr>
            </w:pPr>
            <w:r w:rsidRPr="00ED7526">
              <w:rPr>
                <w:spacing w:val="-2"/>
                <w:sz w:val="22"/>
                <w:szCs w:val="22"/>
              </w:rPr>
              <w:t>que les réponses ci-après sont à sa connaissance exactes,</w:t>
            </w:r>
          </w:p>
          <w:p w14:paraId="7A10A40E" w14:textId="21D88A72" w:rsidR="008D267A" w:rsidRPr="00ED7526" w:rsidRDefault="008D267A" w:rsidP="00481EED">
            <w:pPr>
              <w:pStyle w:val="Paragraphedeliste"/>
              <w:keepLines/>
              <w:numPr>
                <w:ilvl w:val="0"/>
                <w:numId w:val="17"/>
              </w:numPr>
              <w:ind w:left="714" w:hanging="357"/>
              <w:rPr>
                <w:spacing w:val="-2"/>
                <w:sz w:val="22"/>
                <w:szCs w:val="22"/>
              </w:rPr>
            </w:pPr>
            <w:r w:rsidRPr="00ED7526">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ED7526" w:rsidRDefault="008D267A" w:rsidP="00481EED">
            <w:pPr>
              <w:keepLines/>
              <w:rPr>
                <w:sz w:val="22"/>
                <w:szCs w:val="22"/>
              </w:rPr>
            </w:pPr>
            <w:r w:rsidRPr="00ED7526">
              <w:rPr>
                <w:sz w:val="22"/>
                <w:szCs w:val="22"/>
              </w:rPr>
              <w:t xml:space="preserve">Le soussigné ne peut être engagé au-delà des réponses apportées à ce questionnaire. </w:t>
            </w:r>
          </w:p>
          <w:p w14:paraId="27131CCA" w14:textId="77777777" w:rsidR="008D267A" w:rsidRPr="00ED7526" w:rsidRDefault="008D267A" w:rsidP="00481EED">
            <w:pPr>
              <w:keepLines/>
              <w:spacing w:after="240"/>
              <w:rPr>
                <w:sz w:val="22"/>
                <w:szCs w:val="22"/>
              </w:rPr>
            </w:pPr>
            <w:r w:rsidRPr="00ED7526">
              <w:rPr>
                <w:sz w:val="22"/>
                <w:szCs w:val="22"/>
              </w:rPr>
              <w:t>Les assureurs peuvent demander tous renseignements complémentaires et, dès lors, reconnaissent avoir une connaissance suffisante du risque à garantir.</w:t>
            </w:r>
          </w:p>
          <w:p w14:paraId="234440E2" w14:textId="77777777" w:rsidR="008D267A" w:rsidRPr="00ED7526" w:rsidRDefault="008D267A" w:rsidP="00481EED">
            <w:pPr>
              <w:keepLines/>
              <w:rPr>
                <w:sz w:val="22"/>
                <w:szCs w:val="22"/>
              </w:rPr>
            </w:pPr>
            <w:r w:rsidRPr="00ED7526">
              <w:rPr>
                <w:sz w:val="22"/>
                <w:szCs w:val="22"/>
              </w:rPr>
              <w:t xml:space="preserve">Article L. 113-8 du Code des assurances </w:t>
            </w:r>
          </w:p>
          <w:p w14:paraId="0C79ED3B" w14:textId="77777777" w:rsidR="008D267A" w:rsidRPr="00ED7526" w:rsidRDefault="008D267A" w:rsidP="00481EED">
            <w:pPr>
              <w:keepLines/>
              <w:rPr>
                <w:i/>
                <w:iCs/>
                <w:sz w:val="22"/>
                <w:szCs w:val="22"/>
              </w:rPr>
            </w:pPr>
            <w:r w:rsidRPr="00ED7526">
              <w:rPr>
                <w:i/>
                <w:iCs/>
                <w:sz w:val="22"/>
                <w:szCs w:val="22"/>
              </w:rPr>
              <w:t>Indépendamment des causes ordinaires de nullité, et sous réserve des dispositions de l'article </w:t>
            </w:r>
            <w:hyperlink r:id="rId8" w:tooltip="Code des assurances - art. L132-26 (V)" w:history="1">
              <w:r w:rsidRPr="00ED7526">
                <w:rPr>
                  <w:i/>
                  <w:iCs/>
                  <w:sz w:val="22"/>
                  <w:szCs w:val="22"/>
                </w:rPr>
                <w:t>L. 132-26</w:t>
              </w:r>
            </w:hyperlink>
            <w:r w:rsidRPr="00ED7526">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ED7526" w:rsidRDefault="008D267A" w:rsidP="00481EED">
            <w:pPr>
              <w:keepLines/>
              <w:spacing w:after="240"/>
              <w:rPr>
                <w:i/>
                <w:iCs/>
                <w:sz w:val="22"/>
                <w:szCs w:val="22"/>
              </w:rPr>
            </w:pPr>
            <w:r w:rsidRPr="00ED7526">
              <w:rPr>
                <w:i/>
                <w:iCs/>
                <w:sz w:val="22"/>
                <w:szCs w:val="22"/>
              </w:rPr>
              <w:t>Les primes payées demeurent alors acquises à l'assureur, qui a droit au paiement de toutes les primes échues à titre de dommages et intérêts.</w:t>
            </w:r>
          </w:p>
          <w:p w14:paraId="461EFFBB" w14:textId="77777777" w:rsidR="008D267A" w:rsidRPr="00ED7526" w:rsidRDefault="008D267A" w:rsidP="00481EED">
            <w:pPr>
              <w:keepLines/>
              <w:rPr>
                <w:sz w:val="22"/>
                <w:szCs w:val="22"/>
              </w:rPr>
            </w:pPr>
            <w:r w:rsidRPr="00ED7526">
              <w:rPr>
                <w:sz w:val="22"/>
                <w:szCs w:val="22"/>
              </w:rPr>
              <w:t>Article L113-9 du Code des assurances</w:t>
            </w:r>
          </w:p>
          <w:p w14:paraId="2E458E50" w14:textId="77777777" w:rsidR="008D267A" w:rsidRPr="00ED7526" w:rsidRDefault="008D267A" w:rsidP="00481EED">
            <w:pPr>
              <w:keepLines/>
              <w:rPr>
                <w:i/>
                <w:iCs/>
                <w:sz w:val="22"/>
                <w:szCs w:val="22"/>
              </w:rPr>
            </w:pPr>
            <w:r w:rsidRPr="00ED7526">
              <w:rPr>
                <w:i/>
                <w:iCs/>
                <w:sz w:val="22"/>
                <w:szCs w:val="22"/>
              </w:rPr>
              <w:t>L'omission ou la déclaration inexacte de la part de l'assuré dont la mauvaise foi n'est pas établie n'entraîne pas la nullité de l'assurance.</w:t>
            </w:r>
          </w:p>
          <w:p w14:paraId="3D7163B0" w14:textId="77777777" w:rsidR="008D267A" w:rsidRPr="00ED7526" w:rsidRDefault="008D267A" w:rsidP="00481EED">
            <w:pPr>
              <w:keepLines/>
              <w:rPr>
                <w:i/>
                <w:iCs/>
                <w:sz w:val="22"/>
                <w:szCs w:val="22"/>
              </w:rPr>
            </w:pPr>
            <w:r w:rsidRPr="00ED7526">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ED7526" w:rsidRDefault="008D267A" w:rsidP="00481EED">
            <w:pPr>
              <w:keepLines/>
              <w:spacing w:after="240"/>
              <w:rPr>
                <w:b/>
                <w:bCs/>
              </w:rPr>
            </w:pPr>
            <w:r w:rsidRPr="00ED7526">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Pr="00ED7526" w:rsidRDefault="00CA06F4" w:rsidP="008B0B23">
      <w:pPr>
        <w:keepNext/>
        <w:keepLines/>
        <w:widowControl/>
        <w:spacing w:before="480" w:after="120"/>
        <w:jc w:val="left"/>
      </w:pPr>
      <w:r w:rsidRPr="00ED7526">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6D3374AB"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3AB4B6" w14:textId="77777777" w:rsidR="008B0B23" w:rsidRPr="00ED7526" w:rsidRDefault="008B0B23" w:rsidP="0066366D">
            <w:pPr>
              <w:keepLines/>
              <w:spacing w:before="80" w:after="80"/>
            </w:pPr>
          </w:p>
        </w:tc>
      </w:tr>
    </w:tbl>
    <w:p w14:paraId="4C86386C" w14:textId="65192B30" w:rsidR="00EF445C" w:rsidRPr="00ED7526" w:rsidRDefault="00EF445C" w:rsidP="00481EED">
      <w:pPr>
        <w:pStyle w:val="Titre1"/>
      </w:pPr>
      <w:r w:rsidRPr="00ED7526">
        <w:lastRenderedPageBreak/>
        <w:t>Tous dommages aux expositions temporaires</w:t>
      </w:r>
    </w:p>
    <w:p w14:paraId="542F6365" w14:textId="76164C00" w:rsidR="00EF445C" w:rsidRPr="00ED7526" w:rsidRDefault="00EF445C" w:rsidP="00481EED">
      <w:pPr>
        <w:keepNext/>
        <w:keepLines/>
        <w:spacing w:after="120"/>
      </w:pPr>
      <w:r w:rsidRPr="00ED7526">
        <w:t>Le souscripteur souhaite-t-il assurer les expositions temporaires ?</w:t>
      </w:r>
    </w:p>
    <w:p w14:paraId="39050391" w14:textId="77777777" w:rsidR="00EF445C" w:rsidRPr="00ED7526" w:rsidRDefault="00EF445C" w:rsidP="00481EE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4581">
        <w:rPr>
          <w:strike/>
        </w:rPr>
        <w:t>OUI</w:t>
      </w:r>
      <w:r w:rsidRPr="00ED7526">
        <w:t xml:space="preserve"> /</w:t>
      </w:r>
      <w:r w:rsidRPr="00ED7526">
        <w:rPr>
          <w:bdr w:val="single" w:sz="4" w:space="0" w:color="auto"/>
        </w:rPr>
        <w:t xml:space="preserve"> NON</w:t>
      </w:r>
    </w:p>
    <w:p w14:paraId="08F5D46F" w14:textId="55960FBC" w:rsidR="00EF445C" w:rsidRPr="00ED7526" w:rsidRDefault="00EF445C" w:rsidP="00481EED">
      <w:pPr>
        <w:keepNext/>
        <w:keepLines/>
        <w:spacing w:before="220" w:after="120"/>
      </w:pPr>
      <w:r w:rsidRPr="00ED7526">
        <w:t>Indiquer ci-après les lieux d’exposition les plus fréquents.</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5DBB03AD"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F3F2EB" w14:textId="77777777" w:rsidR="008B0B23" w:rsidRPr="00ED7526" w:rsidRDefault="008B0B23" w:rsidP="0066366D">
            <w:pPr>
              <w:keepLines/>
              <w:spacing w:before="80" w:after="80"/>
            </w:pPr>
          </w:p>
        </w:tc>
      </w:tr>
    </w:tbl>
    <w:p w14:paraId="5F6D1546" w14:textId="220D8F02" w:rsidR="00EF445C" w:rsidRPr="00ED7526" w:rsidRDefault="00EF445C" w:rsidP="00481EED">
      <w:pPr>
        <w:keepNext/>
        <w:keepLines/>
        <w:spacing w:before="220" w:after="120"/>
      </w:pPr>
      <w:r w:rsidRPr="00ED7526">
        <w:t>Préciser la nature des expositions.</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06B4C68E"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F601ED" w14:textId="77777777" w:rsidR="008B0B23" w:rsidRPr="00ED7526" w:rsidRDefault="008B0B23" w:rsidP="0066366D">
            <w:pPr>
              <w:keepLines/>
              <w:spacing w:before="80" w:after="80"/>
            </w:pPr>
          </w:p>
        </w:tc>
      </w:tr>
    </w:tbl>
    <w:p w14:paraId="5B354630" w14:textId="77D17D49" w:rsidR="00EF445C" w:rsidRPr="00ED7526" w:rsidRDefault="00EF445C" w:rsidP="00481EED">
      <w:pPr>
        <w:keepNext/>
        <w:keepLines/>
        <w:spacing w:before="220" w:after="120"/>
      </w:pPr>
      <w:r w:rsidRPr="00ED7526">
        <w:t>Indiquer la valeur de l’exposition la plus importante réalisée au cours de</w:t>
      </w:r>
      <w:r w:rsidR="00DF15E5" w:rsidRPr="00ED7526">
        <w:t>s</w:t>
      </w:r>
      <w:r w:rsidRPr="00ED7526">
        <w:t xml:space="preserve"> 3</w:t>
      </w:r>
      <w:r w:rsidR="005F3246" w:rsidRPr="00ED7526">
        <w:t> </w:t>
      </w:r>
      <w:r w:rsidRPr="00ED7526">
        <w:t>dernières années.</w:t>
      </w:r>
    </w:p>
    <w:p w14:paraId="25D2905B" w14:textId="61BE7E92" w:rsidR="00EF445C" w:rsidRPr="00ED7526" w:rsidRDefault="00EF445C" w:rsidP="008B0B2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sidRPr="00ED7526">
        <w:t xml:space="preserve"> €</w:t>
      </w:r>
    </w:p>
    <w:p w14:paraId="125162B1" w14:textId="28D6AAE3" w:rsidR="00EF445C" w:rsidRPr="00ED7526" w:rsidRDefault="00EF445C" w:rsidP="00481EED">
      <w:pPr>
        <w:keepNext/>
        <w:keepLines/>
        <w:spacing w:before="220" w:after="120"/>
      </w:pPr>
      <w:r w:rsidRPr="00ED7526">
        <w:t>Détailler les moyens de protection et prévention vol</w:t>
      </w:r>
      <w:r w:rsidR="00DF15E5" w:rsidRPr="00ED7526">
        <w:t xml:space="preserve"> des lieux d’exposition les plus fréquents.</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558C8965"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E4D357" w14:textId="77777777" w:rsidR="008B0B23" w:rsidRPr="00ED7526" w:rsidRDefault="008B0B23" w:rsidP="0066366D">
            <w:pPr>
              <w:keepLines/>
              <w:spacing w:before="80" w:after="80"/>
            </w:pPr>
          </w:p>
        </w:tc>
      </w:tr>
    </w:tbl>
    <w:p w14:paraId="4419D2E3" w14:textId="27B98749" w:rsidR="00DF15E5" w:rsidRPr="00ED7526" w:rsidRDefault="00DF15E5" w:rsidP="00481EED">
      <w:pPr>
        <w:keepNext/>
        <w:keepLines/>
        <w:spacing w:before="220" w:after="120"/>
      </w:pPr>
      <w:r w:rsidRPr="00ED7526">
        <w:t>Le souscripteur souhaite-t-il assurer les expositions temporaires en plein air ?</w:t>
      </w:r>
    </w:p>
    <w:p w14:paraId="2DBC283B" w14:textId="77777777" w:rsidR="00DF15E5" w:rsidRPr="00ED7526" w:rsidRDefault="00DF15E5" w:rsidP="00481EE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ED7526">
        <w:t>OUI / NON</w:t>
      </w:r>
    </w:p>
    <w:p w14:paraId="723CF4BA" w14:textId="5F25B163" w:rsidR="00DF15E5" w:rsidRPr="00ED7526" w:rsidRDefault="005F3246" w:rsidP="00481EED">
      <w:pPr>
        <w:keepNext/>
        <w:keepLines/>
        <w:spacing w:before="120" w:after="120"/>
      </w:pPr>
      <w:r w:rsidRPr="00ED7526">
        <w:t>Si OUI, p</w:t>
      </w:r>
      <w:r w:rsidR="00DF15E5" w:rsidRPr="00ED7526">
        <w:t xml:space="preserve">réciser </w:t>
      </w:r>
      <w:r w:rsidRPr="00ED7526">
        <w:t xml:space="preserve">ci-après </w:t>
      </w:r>
      <w:r w:rsidR="00DF15E5" w:rsidRPr="00ED7526">
        <w:t>la nature des expositions envisagées.</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2A73B6EA"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C1089A" w14:textId="77777777" w:rsidR="008B0B23" w:rsidRPr="00ED7526" w:rsidRDefault="008B0B23" w:rsidP="0066366D">
            <w:pPr>
              <w:keepLines/>
              <w:spacing w:before="80" w:after="80"/>
            </w:pPr>
          </w:p>
        </w:tc>
      </w:tr>
    </w:tbl>
    <w:p w14:paraId="299FB8F0" w14:textId="7C47F9A7" w:rsidR="0079375A" w:rsidRPr="00ED7526" w:rsidRDefault="0079375A" w:rsidP="00481EED">
      <w:pPr>
        <w:keepLines/>
        <w:spacing w:before="240"/>
      </w:pPr>
      <w:r w:rsidRPr="00ED7526">
        <w:rPr>
          <w:b/>
          <w:bCs/>
        </w:rPr>
        <w:t>Joindre la liste</w:t>
      </w:r>
      <w:r w:rsidRPr="00ED7526">
        <w:t xml:space="preserve"> des expositions réalisées au cours des 3 dernières années selon tableau en annexe.</w:t>
      </w:r>
    </w:p>
    <w:p w14:paraId="6F86A162" w14:textId="6D1E07C1" w:rsidR="0079375A" w:rsidRPr="00ED7526" w:rsidRDefault="0079375A" w:rsidP="00481EED">
      <w:pPr>
        <w:keepLines/>
      </w:pPr>
      <w:r w:rsidRPr="00ED7526">
        <w:t>Si le souscripteur ne souhaite pas utiliser ce tableau, la liste jointe devra néanmoins comporter toutes les informations demandées.</w:t>
      </w:r>
    </w:p>
    <w:p w14:paraId="354A3E95" w14:textId="2C4D42EE" w:rsidR="00EA5E85" w:rsidRPr="00ED7526" w:rsidRDefault="008F0AE7" w:rsidP="00481EED">
      <w:pPr>
        <w:pStyle w:val="Titre1"/>
      </w:pPr>
      <w:r w:rsidRPr="00ED7526">
        <w:t>Tous dommages aux objets précieux et/ou d’exposition</w:t>
      </w:r>
    </w:p>
    <w:p w14:paraId="64753CC8" w14:textId="6340DF95" w:rsidR="008D5DCA" w:rsidRPr="00ED7526" w:rsidRDefault="008F0AE7" w:rsidP="00481EED">
      <w:pPr>
        <w:keepNext/>
        <w:keepLines/>
        <w:spacing w:after="120"/>
      </w:pPr>
      <w:r w:rsidRPr="00ED7526">
        <w:t>Le souscripteur souhaite-t-il assurer des objets d'art et/ou précieux (hors expositions temporaires</w:t>
      </w:r>
      <w:r w:rsidR="0080553F" w:rsidRPr="00ED7526">
        <w:t xml:space="preserve"> </w:t>
      </w:r>
      <w:r w:rsidR="00DF15E5" w:rsidRPr="00ED7526">
        <w:t xml:space="preserve">ci-avant </w:t>
      </w:r>
      <w:r w:rsidR="0080553F" w:rsidRPr="00ED7526">
        <w:t>et mise à disposition d’œuvre</w:t>
      </w:r>
      <w:r w:rsidR="00DF15E5" w:rsidRPr="00ED7526">
        <w:t>s ci-après</w:t>
      </w:r>
      <w:r w:rsidRPr="00ED7526">
        <w:t>) ?</w:t>
      </w:r>
    </w:p>
    <w:p w14:paraId="6AEEA8E6" w14:textId="77777777" w:rsidR="008F0AE7" w:rsidRPr="00ED7526" w:rsidRDefault="008F0AE7" w:rsidP="00481EE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74581">
        <w:rPr>
          <w:bdr w:val="single" w:sz="4" w:space="0" w:color="auto"/>
        </w:rPr>
        <w:t>OUI</w:t>
      </w:r>
      <w:r w:rsidRPr="00ED7526">
        <w:t xml:space="preserve"> / </w:t>
      </w:r>
      <w:r w:rsidRPr="00174581">
        <w:rPr>
          <w:strike/>
        </w:rPr>
        <w:t>NON</w:t>
      </w:r>
    </w:p>
    <w:p w14:paraId="3BB0F7C9" w14:textId="687E95F5" w:rsidR="00EF445C" w:rsidRPr="00ED7526" w:rsidRDefault="00EF445C" w:rsidP="00481EED">
      <w:pPr>
        <w:pStyle w:val="Titre2"/>
      </w:pPr>
      <w:r w:rsidRPr="00ED7526">
        <w:t>Pour les expositions permanente</w:t>
      </w:r>
      <w:r w:rsidR="0079375A" w:rsidRPr="00ED7526">
        <w:t>s</w:t>
      </w:r>
    </w:p>
    <w:p w14:paraId="3F10B002" w14:textId="523B5613" w:rsidR="00827CBE" w:rsidRPr="00ED7526" w:rsidRDefault="00827CBE" w:rsidP="00481EED">
      <w:pPr>
        <w:keepLines/>
        <w:spacing w:before="120" w:after="120"/>
        <w:rPr>
          <w:b/>
          <w:bCs/>
        </w:rPr>
      </w:pPr>
      <w:r w:rsidRPr="00ED7526">
        <w:rPr>
          <w:b/>
          <w:bCs/>
        </w:rPr>
        <w:t>Joindre la liste valorisée des œuvres.</w:t>
      </w:r>
    </w:p>
    <w:p w14:paraId="2565B01B" w14:textId="069C8E6D" w:rsidR="0085094D" w:rsidRPr="00ED7526" w:rsidRDefault="0085094D" w:rsidP="00481EED">
      <w:pPr>
        <w:keepNext/>
        <w:keepLines/>
        <w:spacing w:before="220" w:after="120"/>
      </w:pPr>
      <w:r w:rsidRPr="00ED7526">
        <w:t>Indiquer ci-après les lieux d’exposition.</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7FA0265E"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1F4B7F" w14:textId="52E8A69D" w:rsidR="008B0B23" w:rsidRPr="00ED7526" w:rsidRDefault="00AF003B" w:rsidP="0066366D">
            <w:pPr>
              <w:keepLines/>
              <w:spacing w:before="80" w:after="80"/>
            </w:pPr>
            <w:r w:rsidRPr="00ED7526">
              <w:t xml:space="preserve">Principalement, bâtiment du Palais du Luxembourg (A), Petit Luxembourg Est </w:t>
            </w:r>
            <w:r w:rsidR="00997569" w:rsidRPr="00ED7526">
              <w:t>(</w:t>
            </w:r>
            <w:r w:rsidRPr="00ED7526">
              <w:t>D) et Petit Luxembourg Ouest (C), ainsi que le bâtiment des Chartreux</w:t>
            </w:r>
            <w:r w:rsidR="00997569" w:rsidRPr="00ED7526">
              <w:t xml:space="preserve"> (IY)</w:t>
            </w:r>
            <w:r w:rsidRPr="00ED7526">
              <w:t>.</w:t>
            </w:r>
            <w:r w:rsidR="00124E2F" w:rsidRPr="00ED7526">
              <w:t xml:space="preserve"> En extérieur : Jardin du Luxembourg</w:t>
            </w:r>
            <w:r w:rsidR="00997569" w:rsidRPr="00ED7526">
              <w:t xml:space="preserve"> (U)</w:t>
            </w:r>
            <w:r w:rsidR="00124E2F" w:rsidRPr="00ED7526">
              <w:t>.</w:t>
            </w:r>
            <w:r w:rsidR="00997569" w:rsidRPr="00ED7526">
              <w:t xml:space="preserve"> Liste </w:t>
            </w:r>
            <w:r w:rsidR="00997569" w:rsidRPr="00ED7526">
              <w:lastRenderedPageBreak/>
              <w:t>exhaustive jointe</w:t>
            </w:r>
            <w:r w:rsidR="00C6284C" w:rsidRPr="00ED7526">
              <w:t>.</w:t>
            </w:r>
          </w:p>
        </w:tc>
      </w:tr>
    </w:tbl>
    <w:p w14:paraId="12CF6E7E" w14:textId="2ACED2E9" w:rsidR="0085094D" w:rsidRPr="00ED7526" w:rsidRDefault="0085094D" w:rsidP="00481EED">
      <w:pPr>
        <w:keepNext/>
        <w:keepLines/>
        <w:spacing w:before="220" w:after="120"/>
      </w:pPr>
      <w:r w:rsidRPr="00ED7526">
        <w:lastRenderedPageBreak/>
        <w:t>Préciser la nature des objets</w:t>
      </w:r>
      <w:r w:rsidR="00DF15E5" w:rsidRPr="00ED7526">
        <w:t xml:space="preserve"> exposés</w:t>
      </w:r>
      <w:r w:rsidRPr="00ED7526">
        <w:t>.</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0778E03F"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4281C2" w14:textId="67CCDF11" w:rsidR="008B0B23" w:rsidRPr="00ED7526" w:rsidRDefault="00AF003B" w:rsidP="0066366D">
            <w:pPr>
              <w:keepLines/>
              <w:spacing w:before="80" w:after="80"/>
            </w:pPr>
            <w:r w:rsidRPr="00ED7526">
              <w:t xml:space="preserve">Peintures, sculptures, tapisseries, objets de décor (céramiques, horloges, </w:t>
            </w:r>
            <w:r w:rsidRPr="001554AF">
              <w:rPr>
                <w:i/>
                <w:iCs/>
              </w:rPr>
              <w:t>etc</w:t>
            </w:r>
            <w:r w:rsidR="001554AF">
              <w:t>.</w:t>
            </w:r>
            <w:r w:rsidRPr="00ED7526">
              <w:t>)</w:t>
            </w:r>
            <w:r w:rsidR="00997569" w:rsidRPr="00ED7526">
              <w:t>, mobilier</w:t>
            </w:r>
            <w:r w:rsidRPr="00ED7526">
              <w:t>.</w:t>
            </w:r>
          </w:p>
        </w:tc>
      </w:tr>
    </w:tbl>
    <w:p w14:paraId="365A3C10" w14:textId="014ADDE9" w:rsidR="0085094D" w:rsidRPr="00ED7526" w:rsidRDefault="0085094D" w:rsidP="00481EED">
      <w:pPr>
        <w:keepNext/>
        <w:keepLines/>
        <w:spacing w:before="220" w:after="120"/>
      </w:pPr>
      <w:r w:rsidRPr="00ED7526">
        <w:t xml:space="preserve">Indiquer la valeur </w:t>
      </w:r>
      <w:r w:rsidR="00DF15E5" w:rsidRPr="00ED7526">
        <w:t>à assurer pour chaque lieu d’exposition.</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65943505"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BAC7EA" w14:textId="42893BFB" w:rsidR="00124E2F" w:rsidRPr="00ED7526" w:rsidRDefault="0084344D" w:rsidP="00997569">
            <w:pPr>
              <w:pStyle w:val="Paragraphedeliste"/>
              <w:keepLines/>
              <w:spacing w:before="80" w:after="80"/>
            </w:pPr>
            <w:r w:rsidRPr="00ED7526">
              <w:rPr>
                <w:noProof/>
              </w:rPr>
              <w:drawing>
                <wp:inline distT="0" distB="0" distL="0" distR="0" wp14:anchorId="25CEF469" wp14:editId="0F832D06">
                  <wp:extent cx="4352925" cy="2105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52925" cy="2105025"/>
                          </a:xfrm>
                          <a:prstGeom prst="rect">
                            <a:avLst/>
                          </a:prstGeom>
                        </pic:spPr>
                      </pic:pic>
                    </a:graphicData>
                  </a:graphic>
                </wp:inline>
              </w:drawing>
            </w:r>
          </w:p>
        </w:tc>
      </w:tr>
    </w:tbl>
    <w:p w14:paraId="2EC6FF6B" w14:textId="75578391" w:rsidR="00054805" w:rsidRPr="00ED7526" w:rsidRDefault="00054805" w:rsidP="00481EED">
      <w:pPr>
        <w:keepNext/>
        <w:keepLines/>
        <w:spacing w:before="220" w:after="120"/>
      </w:pPr>
      <w:r w:rsidRPr="00ED7526">
        <w:t>Ce montant représente la valeur totale des œuvres.</w:t>
      </w:r>
    </w:p>
    <w:p w14:paraId="4D4C4ED4" w14:textId="77777777" w:rsidR="00054805" w:rsidRPr="00ED7526" w:rsidRDefault="00054805" w:rsidP="0005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554AF">
        <w:rPr>
          <w:strike/>
        </w:rPr>
        <w:t>OUI</w:t>
      </w:r>
      <w:r w:rsidRPr="00ED7526">
        <w:t xml:space="preserve"> / </w:t>
      </w:r>
      <w:r w:rsidRPr="00ED7526">
        <w:rPr>
          <w:bdr w:val="single" w:sz="4" w:space="0" w:color="auto"/>
        </w:rPr>
        <w:t>NON</w:t>
      </w:r>
    </w:p>
    <w:p w14:paraId="743DBA9E" w14:textId="767CDA13" w:rsidR="0085094D" w:rsidRPr="00ED7526" w:rsidRDefault="0085094D" w:rsidP="00481EED">
      <w:pPr>
        <w:keepNext/>
        <w:keepLines/>
        <w:spacing w:before="220" w:after="120"/>
      </w:pPr>
      <w:r w:rsidRPr="00ED7526">
        <w:t>Détailler les moyens de protection et prévention vol</w:t>
      </w:r>
      <w:r w:rsidR="00DF15E5" w:rsidRPr="00ED7526">
        <w:t xml:space="preserve"> des lieux d’exposition.</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46EF5415"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B60FD7" w14:textId="29B86B7F" w:rsidR="008B0B23" w:rsidRPr="00ED7526" w:rsidRDefault="00124E2F" w:rsidP="00124E2F">
            <w:pPr>
              <w:pStyle w:val="Paragraphedeliste"/>
              <w:keepLines/>
              <w:numPr>
                <w:ilvl w:val="0"/>
                <w:numId w:val="20"/>
              </w:numPr>
              <w:spacing w:before="80" w:after="80"/>
            </w:pPr>
            <w:r w:rsidRPr="00ED7526">
              <w:t>Surveillance visuelle assurée par les agents du Sénat en poste dans les espaces de circulation (la plupart des œuvres sont non déplaçables en raison de leur taille/poids)</w:t>
            </w:r>
          </w:p>
          <w:p w14:paraId="2300BFEE" w14:textId="74507578" w:rsidR="00C6284C" w:rsidRPr="00ED7526" w:rsidRDefault="00C6284C" w:rsidP="00124E2F">
            <w:pPr>
              <w:pStyle w:val="Paragraphedeliste"/>
              <w:keepLines/>
              <w:numPr>
                <w:ilvl w:val="0"/>
                <w:numId w:val="20"/>
              </w:numPr>
              <w:spacing w:before="80" w:after="80"/>
            </w:pPr>
            <w:r w:rsidRPr="00ED7526">
              <w:t>Traçabilité de chaque œuvre par une puce RFID qui l’identifie</w:t>
            </w:r>
          </w:p>
          <w:p w14:paraId="4DB76C03" w14:textId="09181829" w:rsidR="00C6284C" w:rsidRPr="00ED7526" w:rsidRDefault="00C6284C" w:rsidP="00124E2F">
            <w:pPr>
              <w:pStyle w:val="Paragraphedeliste"/>
              <w:keepLines/>
              <w:numPr>
                <w:ilvl w:val="0"/>
                <w:numId w:val="20"/>
              </w:numPr>
              <w:spacing w:before="80" w:after="80"/>
            </w:pPr>
            <w:r w:rsidRPr="00ED7526">
              <w:t>Tenue d’un logiciel d’inventaire avec localisation exacte des œuvres et tous objets concernés</w:t>
            </w:r>
          </w:p>
          <w:p w14:paraId="1F00E9BE" w14:textId="7F34FAA4" w:rsidR="00C6284C" w:rsidRPr="00ED7526" w:rsidRDefault="00124E2F" w:rsidP="00997569">
            <w:pPr>
              <w:pStyle w:val="Paragraphedeliste"/>
              <w:keepLines/>
              <w:numPr>
                <w:ilvl w:val="0"/>
                <w:numId w:val="20"/>
              </w:numPr>
              <w:spacing w:before="80" w:after="80"/>
            </w:pPr>
            <w:r w:rsidRPr="00ED7526">
              <w:t>Sé</w:t>
            </w:r>
            <w:r w:rsidR="00997569" w:rsidRPr="00ED7526">
              <w:t xml:space="preserve">curisation </w:t>
            </w:r>
            <w:r w:rsidR="00C6284C" w:rsidRPr="00ED7526">
              <w:t>des</w:t>
            </w:r>
            <w:r w:rsidR="00997569" w:rsidRPr="00ED7526">
              <w:t xml:space="preserve"> accès </w:t>
            </w:r>
            <w:r w:rsidR="008643D1" w:rsidRPr="00ED7526">
              <w:t xml:space="preserve">aux bureaux et réserves </w:t>
            </w:r>
            <w:r w:rsidR="00C6284C" w:rsidRPr="00ED7526">
              <w:t xml:space="preserve">par </w:t>
            </w:r>
            <w:r w:rsidR="00997569" w:rsidRPr="00ED7526">
              <w:t>badge salto</w:t>
            </w:r>
            <w:r w:rsidR="008643D1" w:rsidRPr="00ED7526">
              <w:t xml:space="preserve"> nominatif</w:t>
            </w:r>
            <w:r w:rsidR="00997569" w:rsidRPr="00ED7526">
              <w:t xml:space="preserve"> </w:t>
            </w:r>
          </w:p>
          <w:p w14:paraId="13317659" w14:textId="3876A75E" w:rsidR="00997569" w:rsidRPr="00ED7526" w:rsidRDefault="00997569" w:rsidP="00997569">
            <w:pPr>
              <w:pStyle w:val="Paragraphedeliste"/>
              <w:keepLines/>
              <w:numPr>
                <w:ilvl w:val="0"/>
                <w:numId w:val="20"/>
              </w:numPr>
              <w:spacing w:before="80" w:after="80"/>
            </w:pPr>
            <w:r w:rsidRPr="00ED7526">
              <w:t>Contrôles sur place</w:t>
            </w:r>
          </w:p>
          <w:p w14:paraId="65BA68DA" w14:textId="77777777" w:rsidR="00C6284C" w:rsidRPr="00ED7526" w:rsidRDefault="00C6284C" w:rsidP="00997569">
            <w:pPr>
              <w:pStyle w:val="Paragraphedeliste"/>
              <w:keepLines/>
              <w:numPr>
                <w:ilvl w:val="0"/>
                <w:numId w:val="20"/>
              </w:numPr>
              <w:spacing w:before="80" w:after="80"/>
            </w:pPr>
            <w:r w:rsidRPr="00ED7526">
              <w:t>Élaboration d’un plan de sauvegarde des œuvres (en cours)</w:t>
            </w:r>
          </w:p>
          <w:p w14:paraId="3228C0E6" w14:textId="77777777" w:rsidR="00C6284C" w:rsidRPr="00ED7526" w:rsidRDefault="00C6284C" w:rsidP="00C6284C">
            <w:pPr>
              <w:pStyle w:val="Paragraphedeliste"/>
              <w:keepLines/>
              <w:numPr>
                <w:ilvl w:val="0"/>
                <w:numId w:val="20"/>
              </w:numPr>
              <w:spacing w:before="80" w:after="80"/>
            </w:pPr>
            <w:r w:rsidRPr="00ED7526">
              <w:t>Compétence DAS sur les aspects sécurité – sinistres</w:t>
            </w:r>
          </w:p>
          <w:p w14:paraId="53BAF900" w14:textId="361BDB57" w:rsidR="00C6284C" w:rsidRPr="00ED7526" w:rsidRDefault="00C6284C" w:rsidP="00C6284C">
            <w:pPr>
              <w:pStyle w:val="Paragraphedeliste"/>
              <w:keepLines/>
              <w:spacing w:before="80" w:after="80"/>
            </w:pPr>
          </w:p>
        </w:tc>
      </w:tr>
    </w:tbl>
    <w:p w14:paraId="2272E6DE" w14:textId="099DB148" w:rsidR="00EF445C" w:rsidRPr="00ED7526" w:rsidRDefault="00EF445C" w:rsidP="00481EED">
      <w:pPr>
        <w:pStyle w:val="Titre2"/>
      </w:pPr>
      <w:r w:rsidRPr="00ED7526">
        <w:t xml:space="preserve">Pour les autres </w:t>
      </w:r>
      <w:r w:rsidR="000C6203" w:rsidRPr="00ED7526">
        <w:t>œuvres</w:t>
      </w:r>
      <w:r w:rsidRPr="00ED7526">
        <w:t xml:space="preserve"> (stockage, entreposage</w:t>
      </w:r>
      <w:r w:rsidR="000C6203" w:rsidRPr="00ED7526">
        <w:t>,</w:t>
      </w:r>
      <w:r w:rsidRPr="00ED7526">
        <w:t xml:space="preserve"> etc.)</w:t>
      </w:r>
    </w:p>
    <w:p w14:paraId="67DC6B8F" w14:textId="77777777" w:rsidR="003F7EC8" w:rsidRPr="00ED7526" w:rsidRDefault="003F7EC8" w:rsidP="00481EED">
      <w:pPr>
        <w:keepLines/>
        <w:spacing w:before="120" w:after="120"/>
        <w:rPr>
          <w:b/>
          <w:bCs/>
        </w:rPr>
      </w:pPr>
      <w:r w:rsidRPr="00ED7526">
        <w:rPr>
          <w:b/>
          <w:bCs/>
        </w:rPr>
        <w:t>Joindre la liste valorisée des œuvres.</w:t>
      </w:r>
    </w:p>
    <w:p w14:paraId="2D0F8E5E" w14:textId="1A109D67" w:rsidR="00EF445C" w:rsidRPr="00ED7526" w:rsidRDefault="000054A0" w:rsidP="00481EED">
      <w:pPr>
        <w:keepNext/>
        <w:keepLines/>
        <w:spacing w:before="220" w:after="120"/>
      </w:pPr>
      <w:r w:rsidRPr="00ED7526">
        <w:t>Lister</w:t>
      </w:r>
      <w:r w:rsidR="00EF445C" w:rsidRPr="00ED7526">
        <w:t xml:space="preserve"> ci-après les</w:t>
      </w:r>
      <w:r w:rsidR="00DF15E5" w:rsidRPr="00ED7526">
        <w:t xml:space="preserve"> réserves, </w:t>
      </w:r>
      <w:r w:rsidR="00EF445C" w:rsidRPr="00ED7526">
        <w:t>lieux de stockage ou entreposage.</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395A1F7F"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137481C" w14:textId="632075F3" w:rsidR="0084344D" w:rsidRPr="00ED7526" w:rsidRDefault="0084344D" w:rsidP="0084344D">
            <w:pPr>
              <w:pStyle w:val="Paragraphedeliste"/>
              <w:keepLines/>
              <w:numPr>
                <w:ilvl w:val="0"/>
                <w:numId w:val="20"/>
              </w:numPr>
              <w:spacing w:before="80" w:after="80"/>
            </w:pPr>
            <w:r w:rsidRPr="00ED7526">
              <w:t>Rue Bonaparte</w:t>
            </w:r>
          </w:p>
          <w:p w14:paraId="686E0E0A" w14:textId="77777777" w:rsidR="0084344D" w:rsidRPr="00ED7526" w:rsidRDefault="0084344D" w:rsidP="0084344D">
            <w:pPr>
              <w:pStyle w:val="Paragraphedeliste"/>
              <w:keepLines/>
              <w:numPr>
                <w:ilvl w:val="0"/>
                <w:numId w:val="20"/>
              </w:numPr>
              <w:spacing w:before="80" w:after="80"/>
            </w:pPr>
            <w:r w:rsidRPr="00ED7526">
              <w:t>Boulevard Ney</w:t>
            </w:r>
          </w:p>
          <w:p w14:paraId="452D2CC5" w14:textId="30B44E71" w:rsidR="0084344D" w:rsidRPr="00ED7526" w:rsidRDefault="0084344D" w:rsidP="0084344D">
            <w:pPr>
              <w:pStyle w:val="Paragraphedeliste"/>
              <w:keepLines/>
              <w:numPr>
                <w:ilvl w:val="0"/>
                <w:numId w:val="20"/>
              </w:numPr>
              <w:spacing w:before="80" w:after="80"/>
            </w:pPr>
            <w:r w:rsidRPr="00ED7526">
              <w:t>Rue Garancière</w:t>
            </w:r>
          </w:p>
          <w:p w14:paraId="103209D7" w14:textId="167162BB" w:rsidR="00C6284C" w:rsidRPr="00ED7526" w:rsidRDefault="00C6284C" w:rsidP="0084344D">
            <w:pPr>
              <w:pStyle w:val="Paragraphedeliste"/>
              <w:keepLines/>
              <w:numPr>
                <w:ilvl w:val="0"/>
                <w:numId w:val="20"/>
              </w:numPr>
              <w:spacing w:before="80" w:after="80"/>
            </w:pPr>
            <w:r w:rsidRPr="00ED7526">
              <w:t>Rue de Vaugirard (36)</w:t>
            </w:r>
          </w:p>
          <w:p w14:paraId="4E0F3B13" w14:textId="5749CEB2" w:rsidR="0084344D" w:rsidRPr="00ED7526" w:rsidRDefault="00C6284C" w:rsidP="0084344D">
            <w:pPr>
              <w:pStyle w:val="Paragraphedeliste"/>
              <w:keepLines/>
              <w:numPr>
                <w:ilvl w:val="0"/>
                <w:numId w:val="20"/>
              </w:numPr>
              <w:spacing w:before="80" w:after="80"/>
            </w:pPr>
            <w:r w:rsidRPr="00ED7526">
              <w:t>Palais du Luxembourg </w:t>
            </w:r>
          </w:p>
        </w:tc>
      </w:tr>
    </w:tbl>
    <w:p w14:paraId="4F6E5087" w14:textId="77777777" w:rsidR="00EF445C" w:rsidRPr="00ED7526" w:rsidRDefault="00EF445C" w:rsidP="00481EED">
      <w:pPr>
        <w:keepNext/>
        <w:keepLines/>
        <w:spacing w:before="220" w:after="120"/>
      </w:pPr>
      <w:r w:rsidRPr="00ED7526">
        <w:t>Préciser la nature des objets.</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2736AB0D"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0440CB" w14:textId="79FACC54" w:rsidR="008B0B23" w:rsidRPr="00ED7526" w:rsidRDefault="00D1506E" w:rsidP="0066366D">
            <w:pPr>
              <w:keepLines/>
              <w:spacing w:before="80" w:after="80"/>
            </w:pPr>
            <w:r w:rsidRPr="00ED7526">
              <w:t>Peintures</w:t>
            </w:r>
            <w:r w:rsidR="0084344D" w:rsidRPr="00ED7526">
              <w:t xml:space="preserve">, sculptures, tapisseries, vases, </w:t>
            </w:r>
            <w:r w:rsidR="00C6284C" w:rsidRPr="00ED7526">
              <w:t>mobilier,</w:t>
            </w:r>
            <w:r w:rsidR="001554AF">
              <w:t xml:space="preserve"> </w:t>
            </w:r>
            <w:r w:rsidR="00C6284C" w:rsidRPr="001554AF">
              <w:rPr>
                <w:i/>
                <w:iCs/>
              </w:rPr>
              <w:t>etc</w:t>
            </w:r>
            <w:r w:rsidR="00C6284C" w:rsidRPr="00ED7526">
              <w:t>.</w:t>
            </w:r>
          </w:p>
        </w:tc>
      </w:tr>
    </w:tbl>
    <w:p w14:paraId="6AD24BE3" w14:textId="3B400621" w:rsidR="000054A0" w:rsidRPr="00ED7526" w:rsidRDefault="000054A0" w:rsidP="00481EED">
      <w:pPr>
        <w:keepNext/>
        <w:keepLines/>
        <w:spacing w:before="220" w:after="120"/>
      </w:pPr>
      <w:r w:rsidRPr="00ED7526">
        <w:lastRenderedPageBreak/>
        <w:t>Indiquer la valeur à assurer pour chaque réserve ou lieu de stockage ou d’entreposage.</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42953764"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495D83" w14:textId="2F2EE576" w:rsidR="008B0B23" w:rsidRPr="00ED7526" w:rsidRDefault="0084344D" w:rsidP="00D1506E">
            <w:pPr>
              <w:keepLines/>
              <w:spacing w:before="80" w:after="80"/>
            </w:pPr>
            <w:r w:rsidRPr="00ED7526">
              <w:rPr>
                <w:noProof/>
              </w:rPr>
              <w:drawing>
                <wp:inline distT="0" distB="0" distL="0" distR="0" wp14:anchorId="3525B49D" wp14:editId="028EAF39">
                  <wp:extent cx="4333875" cy="12477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33875" cy="1247775"/>
                          </a:xfrm>
                          <a:prstGeom prst="rect">
                            <a:avLst/>
                          </a:prstGeom>
                        </pic:spPr>
                      </pic:pic>
                    </a:graphicData>
                  </a:graphic>
                </wp:inline>
              </w:drawing>
            </w:r>
          </w:p>
        </w:tc>
      </w:tr>
    </w:tbl>
    <w:p w14:paraId="3D2BEF79" w14:textId="77777777" w:rsidR="00054805" w:rsidRPr="00ED7526" w:rsidRDefault="00054805" w:rsidP="00054805">
      <w:pPr>
        <w:keepNext/>
        <w:keepLines/>
        <w:spacing w:before="220" w:after="120"/>
      </w:pPr>
      <w:r w:rsidRPr="00ED7526">
        <w:t>Ce montant représente la valeur totale des œuvres.</w:t>
      </w:r>
    </w:p>
    <w:p w14:paraId="598EC2BB" w14:textId="77777777" w:rsidR="00054805" w:rsidRPr="00ED7526" w:rsidRDefault="00054805" w:rsidP="0005480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F3400">
        <w:rPr>
          <w:strike/>
        </w:rPr>
        <w:t>OUI</w:t>
      </w:r>
      <w:r w:rsidRPr="00ED7526">
        <w:t xml:space="preserve"> / </w:t>
      </w:r>
      <w:r w:rsidRPr="00ED7526">
        <w:rPr>
          <w:bdr w:val="single" w:sz="4" w:space="0" w:color="auto"/>
        </w:rPr>
        <w:t>NON</w:t>
      </w:r>
    </w:p>
    <w:p w14:paraId="5703DC4F" w14:textId="4A58C6AB" w:rsidR="00EF445C" w:rsidRPr="00ED7526" w:rsidRDefault="00EF445C" w:rsidP="00481EED">
      <w:pPr>
        <w:keepNext/>
        <w:keepLines/>
        <w:tabs>
          <w:tab w:val="left" w:pos="5460"/>
        </w:tabs>
        <w:spacing w:before="220" w:after="120"/>
      </w:pPr>
      <w:r w:rsidRPr="00ED7526">
        <w:t>Détailler les moyens de protection et prévention vol</w:t>
      </w:r>
      <w:r w:rsidR="000054A0" w:rsidRPr="00ED7526">
        <w:t xml:space="preserve"> pour chacun des lieux ci-avant.</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3895A340"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FED09B" w14:textId="6A372129" w:rsidR="008B0B23" w:rsidRPr="00ED7526" w:rsidRDefault="00D1506E" w:rsidP="0066366D">
            <w:pPr>
              <w:keepLines/>
              <w:spacing w:before="80" w:after="80"/>
            </w:pPr>
            <w:r w:rsidRPr="00ED7526">
              <w:t>Accès sécurisé</w:t>
            </w:r>
            <w:r w:rsidR="00C6284C" w:rsidRPr="00ED7526">
              <w:t xml:space="preserve"> aux réserves (badge salto en général)</w:t>
            </w:r>
          </w:p>
        </w:tc>
      </w:tr>
    </w:tbl>
    <w:p w14:paraId="05A8601D" w14:textId="76ADE5E4" w:rsidR="00DF15E5" w:rsidRPr="00ED7526" w:rsidRDefault="00DF15E5" w:rsidP="00481EED">
      <w:pPr>
        <w:pStyle w:val="Titre1"/>
      </w:pPr>
      <w:r w:rsidRPr="00ED7526">
        <w:t>Mise à disposition d’</w:t>
      </w:r>
      <w:r w:rsidR="000C6203" w:rsidRPr="00ED7526">
        <w:t>œuvres</w:t>
      </w:r>
    </w:p>
    <w:p w14:paraId="277BE857" w14:textId="77777777" w:rsidR="00DF15E5" w:rsidRPr="00ED7526" w:rsidRDefault="00DF15E5" w:rsidP="00481EED">
      <w:pPr>
        <w:keepNext/>
        <w:keepLines/>
        <w:spacing w:after="120"/>
      </w:pPr>
      <w:r w:rsidRPr="00ED7526">
        <w:t>Le souscripteur souhaite-t-il assurer des œuvres d'art ou biens précieux mis temporairement à sa disposition pour différents travaux, prestations, usages (exemples : reproduction, encadrement, réparation) à l'exclusion d'expositions ?</w:t>
      </w:r>
    </w:p>
    <w:p w14:paraId="578D2719" w14:textId="77777777" w:rsidR="00DF15E5" w:rsidRPr="00ED7526" w:rsidRDefault="00DF15E5" w:rsidP="00481EE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F3400">
        <w:rPr>
          <w:strike/>
        </w:rPr>
        <w:t>OUI</w:t>
      </w:r>
      <w:r w:rsidRPr="00ED7526">
        <w:t xml:space="preserve"> / </w:t>
      </w:r>
      <w:r w:rsidRPr="00ED7526">
        <w:rPr>
          <w:bdr w:val="single" w:sz="4" w:space="0" w:color="auto"/>
        </w:rPr>
        <w:t>NON</w:t>
      </w:r>
    </w:p>
    <w:p w14:paraId="5D21CD96" w14:textId="77777777" w:rsidR="00DF15E5" w:rsidRPr="00ED7526" w:rsidRDefault="00DF15E5" w:rsidP="00481EED">
      <w:pPr>
        <w:keepNext/>
        <w:keepLines/>
        <w:spacing w:before="120" w:after="120"/>
      </w:pPr>
      <w:r w:rsidRPr="00ED7526">
        <w:t xml:space="preserve">Indiquer ci-après les lieux concernés. </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0F444597"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A55897" w14:textId="77777777" w:rsidR="008B0B23" w:rsidRPr="00ED7526" w:rsidRDefault="008B0B23" w:rsidP="0066366D">
            <w:pPr>
              <w:keepLines/>
              <w:spacing w:before="80" w:after="80"/>
            </w:pPr>
          </w:p>
        </w:tc>
      </w:tr>
    </w:tbl>
    <w:p w14:paraId="3DDED984" w14:textId="77777777" w:rsidR="00DF15E5" w:rsidRPr="00ED7526" w:rsidRDefault="00DF15E5" w:rsidP="00481EED">
      <w:pPr>
        <w:keepNext/>
        <w:keepLines/>
        <w:spacing w:before="220" w:after="120"/>
      </w:pPr>
      <w:r w:rsidRPr="00ED7526">
        <w:t>Indiquer la fréquence approximative de ce type de mise à disposition.</w:t>
      </w:r>
    </w:p>
    <w:tbl>
      <w:tblPr>
        <w:tblStyle w:val="Grilledutableau"/>
        <w:tblW w:w="9284" w:type="dxa"/>
        <w:tblInd w:w="38" w:type="dxa"/>
        <w:tblLayout w:type="fixed"/>
        <w:tblLook w:val="04A0" w:firstRow="1" w:lastRow="0" w:firstColumn="1" w:lastColumn="0" w:noHBand="0" w:noVBand="1"/>
      </w:tblPr>
      <w:tblGrid>
        <w:gridCol w:w="9284"/>
      </w:tblGrid>
      <w:tr w:rsidR="008B0B23" w:rsidRPr="00ED7526" w14:paraId="75664A5D" w14:textId="77777777" w:rsidTr="0066366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77A79E" w14:textId="77777777" w:rsidR="008B0B23" w:rsidRPr="00ED7526" w:rsidRDefault="008B0B23" w:rsidP="0066366D">
            <w:pPr>
              <w:keepLines/>
              <w:spacing w:before="80" w:after="80"/>
            </w:pPr>
          </w:p>
        </w:tc>
      </w:tr>
    </w:tbl>
    <w:p w14:paraId="4AFE2A4A" w14:textId="77777777" w:rsidR="0079375A" w:rsidRPr="00ED7526" w:rsidRDefault="00DF15E5" w:rsidP="00481EED">
      <w:pPr>
        <w:keepNext/>
        <w:keepLines/>
        <w:spacing w:before="220" w:after="120"/>
      </w:pPr>
      <w:r w:rsidRPr="00ED7526">
        <w:t xml:space="preserve">Indiquer la valeur </w:t>
      </w:r>
      <w:r w:rsidR="000054A0" w:rsidRPr="00ED7526">
        <w:t>maximale des œuvres mises à disposition sur les 3 dernières années.</w:t>
      </w:r>
    </w:p>
    <w:p w14:paraId="16D8C074" w14:textId="18ACE606" w:rsidR="0079375A" w:rsidRPr="00ED7526" w:rsidRDefault="0079375A" w:rsidP="008B0B2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sidRPr="00ED7526">
        <w:t xml:space="preserve"> €</w:t>
      </w:r>
    </w:p>
    <w:p w14:paraId="14A52DFD" w14:textId="77777777" w:rsidR="0079375A" w:rsidRPr="00ED7526" w:rsidRDefault="0079375A" w:rsidP="00481EED">
      <w:pPr>
        <w:keepLines/>
        <w:spacing w:before="220" w:after="120"/>
      </w:pPr>
    </w:p>
    <w:p w14:paraId="1AB9E2C7" w14:textId="7FC71CB4" w:rsidR="0079375A" w:rsidRPr="00ED7526" w:rsidRDefault="0079375A" w:rsidP="00481EED">
      <w:pPr>
        <w:keepLines/>
        <w:spacing w:before="220" w:after="120"/>
        <w:sectPr w:rsidR="0079375A" w:rsidRPr="00ED7526" w:rsidSect="005D31F9">
          <w:footerReference w:type="default" r:id="rId11"/>
          <w:footnotePr>
            <w:numRestart w:val="eachSect"/>
          </w:footnotePr>
          <w:pgSz w:w="11907" w:h="16840" w:code="9"/>
          <w:pgMar w:top="1417" w:right="1417" w:bottom="1417" w:left="1417" w:header="720" w:footer="720" w:gutter="0"/>
          <w:pgNumType w:start="1"/>
          <w:cols w:space="720"/>
          <w:docGrid w:linePitch="299"/>
        </w:sectPr>
      </w:pPr>
    </w:p>
    <w:p w14:paraId="05C3B62F" w14:textId="0371680A" w:rsidR="0079375A" w:rsidRPr="00ED7526" w:rsidRDefault="0079375A" w:rsidP="00481EED">
      <w:pPr>
        <w:keepLines/>
        <w:widowControl/>
        <w:spacing w:after="480"/>
        <w:ind w:firstLine="357"/>
        <w:jc w:val="center"/>
        <w:rPr>
          <w:rFonts w:asciiTheme="minorHAnsi" w:hAnsiTheme="minorHAnsi" w:cstheme="minorHAnsi"/>
          <w:b/>
          <w:bCs/>
          <w:color w:val="E09926" w:themeColor="accent2"/>
          <w:sz w:val="24"/>
          <w:szCs w:val="24"/>
        </w:rPr>
      </w:pPr>
      <w:r w:rsidRPr="00ED7526">
        <w:rPr>
          <w:rFonts w:asciiTheme="minorHAnsi" w:hAnsiTheme="minorHAnsi" w:cstheme="minorHAnsi"/>
          <w:b/>
          <w:bCs/>
          <w:color w:val="E09926" w:themeColor="accent2"/>
          <w:sz w:val="24"/>
          <w:szCs w:val="24"/>
        </w:rPr>
        <w:lastRenderedPageBreak/>
        <w:t>Annexe au questionnaire « tous dommages aux objets précieux et/ou d’exposition » - Liste des expositions</w:t>
      </w:r>
    </w:p>
    <w:tbl>
      <w:tblPr>
        <w:tblStyle w:val="Grilledutableau"/>
        <w:tblW w:w="0" w:type="auto"/>
        <w:tblInd w:w="38" w:type="dxa"/>
        <w:tblLayout w:type="fixed"/>
        <w:tblLook w:val="04A0" w:firstRow="1" w:lastRow="0" w:firstColumn="1" w:lastColumn="0" w:noHBand="0" w:noVBand="1"/>
      </w:tblPr>
      <w:tblGrid>
        <w:gridCol w:w="2026"/>
        <w:gridCol w:w="2026"/>
        <w:gridCol w:w="2026"/>
        <w:gridCol w:w="2027"/>
        <w:gridCol w:w="2026"/>
        <w:gridCol w:w="2026"/>
        <w:gridCol w:w="2027"/>
      </w:tblGrid>
      <w:tr w:rsidR="00E27655" w:rsidRPr="006A6165" w14:paraId="474FC8A1" w14:textId="491AA4F7" w:rsidTr="008B0B23">
        <w:tc>
          <w:tcPr>
            <w:tcW w:w="2026" w:type="dxa"/>
            <w:vAlign w:val="center"/>
          </w:tcPr>
          <w:p w14:paraId="4030EF48" w14:textId="2851C4BB"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Intitulé de l’exposition</w:t>
            </w:r>
          </w:p>
        </w:tc>
        <w:tc>
          <w:tcPr>
            <w:tcW w:w="2026" w:type="dxa"/>
            <w:vAlign w:val="center"/>
          </w:tcPr>
          <w:p w14:paraId="30587E90" w14:textId="1D88FA69"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Nature des objets exposés</w:t>
            </w:r>
          </w:p>
        </w:tc>
        <w:tc>
          <w:tcPr>
            <w:tcW w:w="2026" w:type="dxa"/>
            <w:vAlign w:val="center"/>
          </w:tcPr>
          <w:p w14:paraId="4DFC393F" w14:textId="7590D5CB"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Lieu de l’exposition</w:t>
            </w:r>
          </w:p>
        </w:tc>
        <w:tc>
          <w:tcPr>
            <w:tcW w:w="2027" w:type="dxa"/>
            <w:vAlign w:val="center"/>
          </w:tcPr>
          <w:p w14:paraId="602D050B" w14:textId="74019B8E"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Durée et dates de l’exposition</w:t>
            </w:r>
          </w:p>
        </w:tc>
        <w:tc>
          <w:tcPr>
            <w:tcW w:w="2026" w:type="dxa"/>
            <w:vAlign w:val="center"/>
          </w:tcPr>
          <w:p w14:paraId="3A276B10" w14:textId="14FB3703"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Valeur globale des objets exposés</w:t>
            </w:r>
          </w:p>
        </w:tc>
        <w:tc>
          <w:tcPr>
            <w:tcW w:w="2026" w:type="dxa"/>
            <w:vAlign w:val="center"/>
          </w:tcPr>
          <w:p w14:paraId="15430627" w14:textId="3F5F91E0" w:rsidR="00E27655" w:rsidRPr="00ED7526"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Valeur de l’objet le plus cher</w:t>
            </w:r>
          </w:p>
        </w:tc>
        <w:tc>
          <w:tcPr>
            <w:tcW w:w="2027" w:type="dxa"/>
            <w:vAlign w:val="center"/>
          </w:tcPr>
          <w:p w14:paraId="1E376B6E" w14:textId="5EAD3EDB" w:rsidR="00E27655" w:rsidRPr="006A6165" w:rsidRDefault="00E27655" w:rsidP="00DA1819">
            <w:pPr>
              <w:keepNext/>
              <w:keepLines/>
              <w:widowControl/>
              <w:jc w:val="center"/>
              <w:rPr>
                <w:rFonts w:asciiTheme="minorHAnsi" w:hAnsiTheme="minorHAnsi" w:cstheme="minorHAnsi"/>
                <w:b/>
                <w:bCs/>
                <w:sz w:val="24"/>
                <w:szCs w:val="24"/>
              </w:rPr>
            </w:pPr>
            <w:r w:rsidRPr="00ED7526">
              <w:rPr>
                <w:rFonts w:asciiTheme="minorHAnsi" w:hAnsiTheme="minorHAnsi" w:cstheme="minorHAnsi"/>
                <w:b/>
                <w:bCs/>
                <w:sz w:val="24"/>
                <w:szCs w:val="24"/>
              </w:rPr>
              <w:t>Extension transport</w:t>
            </w:r>
          </w:p>
        </w:tc>
      </w:tr>
      <w:tr w:rsidR="00E27655" w:rsidRPr="006A6165" w14:paraId="31836B90" w14:textId="4F210A51" w:rsidTr="008B0B23">
        <w:tc>
          <w:tcPr>
            <w:tcW w:w="2026" w:type="dxa"/>
            <w:vAlign w:val="center"/>
          </w:tcPr>
          <w:p w14:paraId="5AD0A6BF"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199DA8F"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56626C60"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8E48335"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18A440D"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00615841"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41959779" w14:textId="77777777" w:rsidR="00E27655" w:rsidRPr="006A6165" w:rsidRDefault="00E27655" w:rsidP="00481EED">
            <w:pPr>
              <w:keepLines/>
              <w:widowControl/>
              <w:jc w:val="center"/>
              <w:rPr>
                <w:rFonts w:asciiTheme="minorHAnsi" w:hAnsiTheme="minorHAnsi" w:cstheme="minorHAnsi"/>
              </w:rPr>
            </w:pPr>
          </w:p>
        </w:tc>
      </w:tr>
      <w:tr w:rsidR="00E27655" w:rsidRPr="006A6165" w14:paraId="2B5D5DCB" w14:textId="22E0D2D4" w:rsidTr="008B0B23">
        <w:tc>
          <w:tcPr>
            <w:tcW w:w="2026" w:type="dxa"/>
            <w:vAlign w:val="center"/>
          </w:tcPr>
          <w:p w14:paraId="19C244C4"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CD4BFB6"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8CB7EEA"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51D089A9"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83DEA24"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0A4C4771"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2604C8A3" w14:textId="77777777" w:rsidR="00E27655" w:rsidRPr="006A6165" w:rsidRDefault="00E27655" w:rsidP="00481EED">
            <w:pPr>
              <w:keepLines/>
              <w:widowControl/>
              <w:jc w:val="center"/>
              <w:rPr>
                <w:rFonts w:asciiTheme="minorHAnsi" w:hAnsiTheme="minorHAnsi" w:cstheme="minorHAnsi"/>
              </w:rPr>
            </w:pPr>
          </w:p>
        </w:tc>
      </w:tr>
      <w:tr w:rsidR="00E27655" w:rsidRPr="006A6165" w14:paraId="0D0AF8B5" w14:textId="2091E2D8" w:rsidTr="008B0B23">
        <w:tc>
          <w:tcPr>
            <w:tcW w:w="2026" w:type="dxa"/>
            <w:vAlign w:val="center"/>
          </w:tcPr>
          <w:p w14:paraId="37E400E0"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10259D5"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23D0CA9"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4B1B5F6C"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4289CA1"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550DC9FE"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7B832D7" w14:textId="77777777" w:rsidR="00E27655" w:rsidRPr="006A6165" w:rsidRDefault="00E27655" w:rsidP="00481EED">
            <w:pPr>
              <w:keepLines/>
              <w:widowControl/>
              <w:jc w:val="center"/>
              <w:rPr>
                <w:rFonts w:asciiTheme="minorHAnsi" w:hAnsiTheme="minorHAnsi" w:cstheme="minorHAnsi"/>
              </w:rPr>
            </w:pPr>
          </w:p>
        </w:tc>
      </w:tr>
      <w:tr w:rsidR="00E27655" w:rsidRPr="006A6165" w14:paraId="0D970B77" w14:textId="108328B1" w:rsidTr="008B0B23">
        <w:tc>
          <w:tcPr>
            <w:tcW w:w="2026" w:type="dxa"/>
            <w:vAlign w:val="center"/>
          </w:tcPr>
          <w:p w14:paraId="78F3ECA6"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0CAA5A6"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3941A932"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2704BF7A"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C327CC4"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37E9560D"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2BCC5D3" w14:textId="77777777" w:rsidR="00E27655" w:rsidRPr="006A6165" w:rsidRDefault="00E27655" w:rsidP="00481EED">
            <w:pPr>
              <w:keepLines/>
              <w:widowControl/>
              <w:jc w:val="center"/>
              <w:rPr>
                <w:rFonts w:asciiTheme="minorHAnsi" w:hAnsiTheme="minorHAnsi" w:cstheme="minorHAnsi"/>
              </w:rPr>
            </w:pPr>
          </w:p>
        </w:tc>
      </w:tr>
      <w:tr w:rsidR="00E27655" w:rsidRPr="006A6165" w14:paraId="76F36DD0" w14:textId="6EFDF9FB" w:rsidTr="008B0B23">
        <w:tc>
          <w:tcPr>
            <w:tcW w:w="2026" w:type="dxa"/>
            <w:vAlign w:val="center"/>
          </w:tcPr>
          <w:p w14:paraId="769F866E"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60F51E9F"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36A4B2EC"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6770D68F"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6EE40915"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3D3D625D"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206BF338" w14:textId="77777777" w:rsidR="00E27655" w:rsidRPr="006A6165" w:rsidRDefault="00E27655" w:rsidP="00481EED">
            <w:pPr>
              <w:keepLines/>
              <w:widowControl/>
              <w:jc w:val="center"/>
              <w:rPr>
                <w:rFonts w:asciiTheme="minorHAnsi" w:hAnsiTheme="minorHAnsi" w:cstheme="minorHAnsi"/>
              </w:rPr>
            </w:pPr>
          </w:p>
        </w:tc>
      </w:tr>
      <w:tr w:rsidR="00E27655" w:rsidRPr="006A6165" w14:paraId="22B34489" w14:textId="685E6782" w:rsidTr="008B0B23">
        <w:tc>
          <w:tcPr>
            <w:tcW w:w="2026" w:type="dxa"/>
            <w:vAlign w:val="center"/>
          </w:tcPr>
          <w:p w14:paraId="73C8B135"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54326C7"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2C33891F"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5020223C"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BCE2592"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2E8440B6"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08B5E0F6" w14:textId="77777777" w:rsidR="00E27655" w:rsidRPr="006A6165" w:rsidRDefault="00E27655" w:rsidP="00481EED">
            <w:pPr>
              <w:keepLines/>
              <w:widowControl/>
              <w:jc w:val="center"/>
              <w:rPr>
                <w:rFonts w:asciiTheme="minorHAnsi" w:hAnsiTheme="minorHAnsi" w:cstheme="minorHAnsi"/>
              </w:rPr>
            </w:pPr>
          </w:p>
        </w:tc>
      </w:tr>
      <w:tr w:rsidR="00E27655" w:rsidRPr="006A6165" w14:paraId="77CCE5F1" w14:textId="44840513" w:rsidTr="008B0B23">
        <w:tc>
          <w:tcPr>
            <w:tcW w:w="2026" w:type="dxa"/>
            <w:vAlign w:val="center"/>
          </w:tcPr>
          <w:p w14:paraId="5258FB02"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3AA26141"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0279D92D"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78D4FAB"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23360F11"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6BECD5A4"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7C37D3A" w14:textId="77777777" w:rsidR="00E27655" w:rsidRPr="006A6165" w:rsidRDefault="00E27655" w:rsidP="00481EED">
            <w:pPr>
              <w:keepLines/>
              <w:widowControl/>
              <w:jc w:val="center"/>
              <w:rPr>
                <w:rFonts w:asciiTheme="minorHAnsi" w:hAnsiTheme="minorHAnsi" w:cstheme="minorHAnsi"/>
              </w:rPr>
            </w:pPr>
          </w:p>
        </w:tc>
      </w:tr>
      <w:tr w:rsidR="00E27655" w:rsidRPr="006A6165" w14:paraId="0EAAFDEB" w14:textId="41A7CCF2" w:rsidTr="008B0B23">
        <w:tc>
          <w:tcPr>
            <w:tcW w:w="2026" w:type="dxa"/>
            <w:vAlign w:val="center"/>
          </w:tcPr>
          <w:p w14:paraId="0A9E4803"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53D5F7F"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E85851F"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7350C502"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7CA2DA41"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0E9BEB9F"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5D6E4690" w14:textId="77777777" w:rsidR="00E27655" w:rsidRPr="006A6165" w:rsidRDefault="00E27655" w:rsidP="00481EED">
            <w:pPr>
              <w:keepLines/>
              <w:widowControl/>
              <w:jc w:val="center"/>
              <w:rPr>
                <w:rFonts w:asciiTheme="minorHAnsi" w:hAnsiTheme="minorHAnsi" w:cstheme="minorHAnsi"/>
              </w:rPr>
            </w:pPr>
          </w:p>
        </w:tc>
      </w:tr>
      <w:tr w:rsidR="00E27655" w:rsidRPr="006A6165" w14:paraId="55DB571C" w14:textId="6A95FCAB" w:rsidTr="008B0B23">
        <w:tc>
          <w:tcPr>
            <w:tcW w:w="2026" w:type="dxa"/>
            <w:vAlign w:val="center"/>
          </w:tcPr>
          <w:p w14:paraId="50DBDAF7"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D6C1138"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55DD62DD"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2926AA1A"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4B587DEA" w14:textId="77777777" w:rsidR="00E27655" w:rsidRPr="006A6165" w:rsidRDefault="00E27655" w:rsidP="00481EED">
            <w:pPr>
              <w:keepLines/>
              <w:widowControl/>
              <w:jc w:val="center"/>
              <w:rPr>
                <w:rFonts w:asciiTheme="minorHAnsi" w:hAnsiTheme="minorHAnsi" w:cstheme="minorHAnsi"/>
                <w:sz w:val="22"/>
                <w:szCs w:val="22"/>
              </w:rPr>
            </w:pPr>
          </w:p>
        </w:tc>
        <w:tc>
          <w:tcPr>
            <w:tcW w:w="2026" w:type="dxa"/>
            <w:vAlign w:val="center"/>
          </w:tcPr>
          <w:p w14:paraId="1CE34503" w14:textId="77777777" w:rsidR="00E27655" w:rsidRPr="006A6165" w:rsidRDefault="00E27655" w:rsidP="00481EED">
            <w:pPr>
              <w:keepLines/>
              <w:widowControl/>
              <w:jc w:val="center"/>
              <w:rPr>
                <w:rFonts w:asciiTheme="minorHAnsi" w:hAnsiTheme="minorHAnsi" w:cstheme="minorHAnsi"/>
                <w:sz w:val="22"/>
                <w:szCs w:val="22"/>
              </w:rPr>
            </w:pPr>
          </w:p>
        </w:tc>
        <w:tc>
          <w:tcPr>
            <w:tcW w:w="2027" w:type="dxa"/>
            <w:vAlign w:val="center"/>
          </w:tcPr>
          <w:p w14:paraId="170B1DB7" w14:textId="77777777" w:rsidR="00E27655" w:rsidRPr="006A6165" w:rsidRDefault="00E27655" w:rsidP="00481EED">
            <w:pPr>
              <w:keepLines/>
              <w:widowControl/>
              <w:jc w:val="center"/>
              <w:rPr>
                <w:rFonts w:asciiTheme="minorHAnsi" w:hAnsiTheme="minorHAnsi" w:cstheme="minorHAnsi"/>
              </w:rPr>
            </w:pPr>
          </w:p>
        </w:tc>
      </w:tr>
      <w:tr w:rsidR="00E27655" w:rsidRPr="006A6165" w14:paraId="7D58DC13" w14:textId="207FB70C" w:rsidTr="008B0B23">
        <w:tc>
          <w:tcPr>
            <w:tcW w:w="2026" w:type="dxa"/>
            <w:vAlign w:val="center"/>
          </w:tcPr>
          <w:p w14:paraId="5AA9B0E6"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AF45EB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BE17ECC"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24CA316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BD6E9D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ED6466E"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E9DF85C" w14:textId="77777777" w:rsidR="00E27655" w:rsidRPr="006A6165" w:rsidRDefault="00E27655" w:rsidP="00481EED">
            <w:pPr>
              <w:keepLines/>
              <w:widowControl/>
              <w:jc w:val="center"/>
              <w:rPr>
                <w:rFonts w:asciiTheme="minorHAnsi" w:hAnsiTheme="minorHAnsi" w:cstheme="minorHAnsi"/>
              </w:rPr>
            </w:pPr>
          </w:p>
        </w:tc>
      </w:tr>
      <w:tr w:rsidR="00E27655" w:rsidRPr="006A6165" w14:paraId="0C0EFEC7" w14:textId="6D4DD9AE" w:rsidTr="008B0B23">
        <w:tc>
          <w:tcPr>
            <w:tcW w:w="2026" w:type="dxa"/>
            <w:vAlign w:val="center"/>
          </w:tcPr>
          <w:p w14:paraId="54FFB75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1288659"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AB70210"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19D6F1D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66095AC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FECD75F"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EA4D681" w14:textId="77777777" w:rsidR="00E27655" w:rsidRPr="006A6165" w:rsidRDefault="00E27655" w:rsidP="00481EED">
            <w:pPr>
              <w:keepLines/>
              <w:widowControl/>
              <w:jc w:val="center"/>
              <w:rPr>
                <w:rFonts w:asciiTheme="minorHAnsi" w:hAnsiTheme="minorHAnsi" w:cstheme="minorHAnsi"/>
              </w:rPr>
            </w:pPr>
          </w:p>
        </w:tc>
      </w:tr>
      <w:tr w:rsidR="00E27655" w:rsidRPr="006A6165" w14:paraId="34150CB2" w14:textId="74C5FB16" w:rsidTr="008B0B23">
        <w:tc>
          <w:tcPr>
            <w:tcW w:w="2026" w:type="dxa"/>
            <w:vAlign w:val="center"/>
          </w:tcPr>
          <w:p w14:paraId="3650D2A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5AE8A57"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3FE097E"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63BEF11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F34537B"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57351C8"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6A3E6E3B" w14:textId="77777777" w:rsidR="00E27655" w:rsidRPr="006A6165" w:rsidRDefault="00E27655" w:rsidP="00481EED">
            <w:pPr>
              <w:keepLines/>
              <w:widowControl/>
              <w:jc w:val="center"/>
              <w:rPr>
                <w:rFonts w:asciiTheme="minorHAnsi" w:hAnsiTheme="minorHAnsi" w:cstheme="minorHAnsi"/>
              </w:rPr>
            </w:pPr>
          </w:p>
        </w:tc>
      </w:tr>
      <w:tr w:rsidR="00E27655" w:rsidRPr="006A6165" w14:paraId="7CB51241" w14:textId="7817B55B" w:rsidTr="008B0B23">
        <w:tc>
          <w:tcPr>
            <w:tcW w:w="2026" w:type="dxa"/>
            <w:vAlign w:val="center"/>
          </w:tcPr>
          <w:p w14:paraId="2694D47E"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6A8B8B8"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1C3479C"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3B9EDA34"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825CF0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D8399EE"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409561CA" w14:textId="77777777" w:rsidR="00E27655" w:rsidRPr="006A6165" w:rsidRDefault="00E27655" w:rsidP="00481EED">
            <w:pPr>
              <w:keepLines/>
              <w:widowControl/>
              <w:jc w:val="center"/>
              <w:rPr>
                <w:rFonts w:asciiTheme="minorHAnsi" w:hAnsiTheme="minorHAnsi" w:cstheme="minorHAnsi"/>
              </w:rPr>
            </w:pPr>
          </w:p>
        </w:tc>
      </w:tr>
      <w:tr w:rsidR="00E27655" w:rsidRPr="006A6165" w14:paraId="66CAFD65" w14:textId="3DD5546E" w:rsidTr="008B0B23">
        <w:tc>
          <w:tcPr>
            <w:tcW w:w="2026" w:type="dxa"/>
            <w:vAlign w:val="center"/>
          </w:tcPr>
          <w:p w14:paraId="498A3CC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74B619C"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1EC6F0C"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666CDCE0"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9625C1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D739940"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3C14D5D4" w14:textId="77777777" w:rsidR="00E27655" w:rsidRPr="006A6165" w:rsidRDefault="00E27655" w:rsidP="00481EED">
            <w:pPr>
              <w:keepLines/>
              <w:widowControl/>
              <w:jc w:val="center"/>
              <w:rPr>
                <w:rFonts w:asciiTheme="minorHAnsi" w:hAnsiTheme="minorHAnsi" w:cstheme="minorHAnsi"/>
              </w:rPr>
            </w:pPr>
          </w:p>
        </w:tc>
      </w:tr>
      <w:tr w:rsidR="00E27655" w:rsidRPr="006A6165" w14:paraId="26DE6B37" w14:textId="065C0601" w:rsidTr="008B0B23">
        <w:tc>
          <w:tcPr>
            <w:tcW w:w="2026" w:type="dxa"/>
            <w:vAlign w:val="center"/>
          </w:tcPr>
          <w:p w14:paraId="14680108"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4FC549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F46FA88"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3105F1AC"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C152B26"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63253E93"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135EFBA1" w14:textId="77777777" w:rsidR="00E27655" w:rsidRPr="006A6165" w:rsidRDefault="00E27655" w:rsidP="00481EED">
            <w:pPr>
              <w:keepLines/>
              <w:widowControl/>
              <w:jc w:val="center"/>
              <w:rPr>
                <w:rFonts w:asciiTheme="minorHAnsi" w:hAnsiTheme="minorHAnsi" w:cstheme="minorHAnsi"/>
              </w:rPr>
            </w:pPr>
          </w:p>
        </w:tc>
      </w:tr>
      <w:tr w:rsidR="00E27655" w:rsidRPr="006A6165" w14:paraId="4349946B" w14:textId="3DE809DC" w:rsidTr="008B0B23">
        <w:tc>
          <w:tcPr>
            <w:tcW w:w="2026" w:type="dxa"/>
            <w:vAlign w:val="center"/>
          </w:tcPr>
          <w:p w14:paraId="3DC3E057"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E824EC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8144A90"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D7D20E0"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462EB7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1EF457D"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9CF0382" w14:textId="77777777" w:rsidR="00E27655" w:rsidRPr="006A6165" w:rsidRDefault="00E27655" w:rsidP="00481EED">
            <w:pPr>
              <w:keepLines/>
              <w:widowControl/>
              <w:jc w:val="center"/>
              <w:rPr>
                <w:rFonts w:asciiTheme="minorHAnsi" w:hAnsiTheme="minorHAnsi" w:cstheme="minorHAnsi"/>
              </w:rPr>
            </w:pPr>
          </w:p>
        </w:tc>
      </w:tr>
      <w:tr w:rsidR="00E27655" w:rsidRPr="006A6165" w14:paraId="37598433" w14:textId="65C649BF" w:rsidTr="008B0B23">
        <w:tc>
          <w:tcPr>
            <w:tcW w:w="2026" w:type="dxa"/>
            <w:vAlign w:val="center"/>
          </w:tcPr>
          <w:p w14:paraId="78CF95B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EAEE32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64CEAAB"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6FD36EFF"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D56146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A59F004"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3081515" w14:textId="77777777" w:rsidR="00E27655" w:rsidRPr="006A6165" w:rsidRDefault="00E27655" w:rsidP="00481EED">
            <w:pPr>
              <w:keepLines/>
              <w:widowControl/>
              <w:jc w:val="center"/>
              <w:rPr>
                <w:rFonts w:asciiTheme="minorHAnsi" w:hAnsiTheme="minorHAnsi" w:cstheme="minorHAnsi"/>
              </w:rPr>
            </w:pPr>
          </w:p>
        </w:tc>
      </w:tr>
      <w:tr w:rsidR="00E27655" w:rsidRPr="006A6165" w14:paraId="60B753F6" w14:textId="681D814C" w:rsidTr="008B0B23">
        <w:tc>
          <w:tcPr>
            <w:tcW w:w="2026" w:type="dxa"/>
            <w:vAlign w:val="center"/>
          </w:tcPr>
          <w:p w14:paraId="00315B98"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0937924"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49AFFEB"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3958B82B"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B9E27F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D6FAFC8"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4EF62311" w14:textId="77777777" w:rsidR="00E27655" w:rsidRPr="006A6165" w:rsidRDefault="00E27655" w:rsidP="00481EED">
            <w:pPr>
              <w:keepLines/>
              <w:widowControl/>
              <w:jc w:val="center"/>
              <w:rPr>
                <w:rFonts w:asciiTheme="minorHAnsi" w:hAnsiTheme="minorHAnsi" w:cstheme="minorHAnsi"/>
              </w:rPr>
            </w:pPr>
          </w:p>
        </w:tc>
      </w:tr>
      <w:tr w:rsidR="00E27655" w:rsidRPr="006A6165" w14:paraId="621A792F" w14:textId="53AC2794" w:rsidTr="008B0B23">
        <w:tc>
          <w:tcPr>
            <w:tcW w:w="2026" w:type="dxa"/>
            <w:vAlign w:val="center"/>
          </w:tcPr>
          <w:p w14:paraId="741CE91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426362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8F91FB6"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284247E9"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1CD715E"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182CDB6"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E7741E5" w14:textId="77777777" w:rsidR="00E27655" w:rsidRPr="006A6165" w:rsidRDefault="00E27655" w:rsidP="00481EED">
            <w:pPr>
              <w:keepLines/>
              <w:widowControl/>
              <w:jc w:val="center"/>
              <w:rPr>
                <w:rFonts w:asciiTheme="minorHAnsi" w:hAnsiTheme="minorHAnsi" w:cstheme="minorHAnsi"/>
              </w:rPr>
            </w:pPr>
          </w:p>
        </w:tc>
      </w:tr>
      <w:tr w:rsidR="00E27655" w:rsidRPr="006A6165" w14:paraId="00DC041D" w14:textId="10279B9A" w:rsidTr="008B0B23">
        <w:tc>
          <w:tcPr>
            <w:tcW w:w="2026" w:type="dxa"/>
            <w:vAlign w:val="center"/>
          </w:tcPr>
          <w:p w14:paraId="2CA7F78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2CF2499"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FBBCA6A"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2510D44"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A76AB7D"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59DC6AF"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A891944" w14:textId="77777777" w:rsidR="00E27655" w:rsidRPr="006A6165" w:rsidRDefault="00E27655" w:rsidP="00481EED">
            <w:pPr>
              <w:keepLines/>
              <w:widowControl/>
              <w:jc w:val="center"/>
              <w:rPr>
                <w:rFonts w:asciiTheme="minorHAnsi" w:hAnsiTheme="minorHAnsi" w:cstheme="minorHAnsi"/>
              </w:rPr>
            </w:pPr>
          </w:p>
        </w:tc>
      </w:tr>
      <w:tr w:rsidR="00E27655" w:rsidRPr="006A6165" w14:paraId="3E34AA6B" w14:textId="589B39FE" w:rsidTr="008B0B23">
        <w:tc>
          <w:tcPr>
            <w:tcW w:w="2026" w:type="dxa"/>
            <w:vAlign w:val="center"/>
          </w:tcPr>
          <w:p w14:paraId="13968C87"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199CF2B"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4AD6578"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1B1AA1AC"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67B9030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FB5D838"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60C9B84" w14:textId="77777777" w:rsidR="00E27655" w:rsidRPr="006A6165" w:rsidRDefault="00E27655" w:rsidP="00481EED">
            <w:pPr>
              <w:keepLines/>
              <w:widowControl/>
              <w:jc w:val="center"/>
              <w:rPr>
                <w:rFonts w:asciiTheme="minorHAnsi" w:hAnsiTheme="minorHAnsi" w:cstheme="minorHAnsi"/>
              </w:rPr>
            </w:pPr>
          </w:p>
        </w:tc>
      </w:tr>
      <w:tr w:rsidR="00E27655" w:rsidRPr="006A6165" w14:paraId="4E5E9355" w14:textId="3CB6F36A" w:rsidTr="008B0B23">
        <w:tc>
          <w:tcPr>
            <w:tcW w:w="2026" w:type="dxa"/>
            <w:vAlign w:val="center"/>
          </w:tcPr>
          <w:p w14:paraId="057AAF0E"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E9A59F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27952B0"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365DF23"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62E1A36"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31B02A96"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1A508E4" w14:textId="77777777" w:rsidR="00E27655" w:rsidRPr="006A6165" w:rsidRDefault="00E27655" w:rsidP="00481EED">
            <w:pPr>
              <w:keepLines/>
              <w:widowControl/>
              <w:jc w:val="center"/>
              <w:rPr>
                <w:rFonts w:asciiTheme="minorHAnsi" w:hAnsiTheme="minorHAnsi" w:cstheme="minorHAnsi"/>
              </w:rPr>
            </w:pPr>
          </w:p>
        </w:tc>
      </w:tr>
      <w:tr w:rsidR="00E27655" w:rsidRPr="006A6165" w14:paraId="0523B875" w14:textId="4352F56F" w:rsidTr="008B0B23">
        <w:tc>
          <w:tcPr>
            <w:tcW w:w="2026" w:type="dxa"/>
            <w:vAlign w:val="center"/>
          </w:tcPr>
          <w:p w14:paraId="1D4711B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A7FCAFC"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39B0B27"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E079656"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41F1970"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81FC05E"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609E7EA9" w14:textId="77777777" w:rsidR="00E27655" w:rsidRPr="006A6165" w:rsidRDefault="00E27655" w:rsidP="00481EED">
            <w:pPr>
              <w:keepLines/>
              <w:widowControl/>
              <w:jc w:val="center"/>
              <w:rPr>
                <w:rFonts w:asciiTheme="minorHAnsi" w:hAnsiTheme="minorHAnsi" w:cstheme="minorHAnsi"/>
              </w:rPr>
            </w:pPr>
          </w:p>
        </w:tc>
      </w:tr>
      <w:tr w:rsidR="00E27655" w:rsidRPr="006A6165" w14:paraId="6E980478" w14:textId="3B6E0358" w:rsidTr="008B0B23">
        <w:tc>
          <w:tcPr>
            <w:tcW w:w="2026" w:type="dxa"/>
            <w:vAlign w:val="center"/>
          </w:tcPr>
          <w:p w14:paraId="46681FF8"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39F412A"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F93BA75"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164D7F2"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4BD36A8"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09E69969"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06831AAB" w14:textId="77777777" w:rsidR="00E27655" w:rsidRPr="006A6165" w:rsidRDefault="00E27655" w:rsidP="00481EED">
            <w:pPr>
              <w:keepLines/>
              <w:widowControl/>
              <w:jc w:val="center"/>
              <w:rPr>
                <w:rFonts w:asciiTheme="minorHAnsi" w:hAnsiTheme="minorHAnsi" w:cstheme="minorHAnsi"/>
              </w:rPr>
            </w:pPr>
          </w:p>
        </w:tc>
      </w:tr>
      <w:tr w:rsidR="00E27655" w:rsidRPr="006A6165" w14:paraId="747CAF7E" w14:textId="6EA2C179" w:rsidTr="008B0B23">
        <w:tc>
          <w:tcPr>
            <w:tcW w:w="2026" w:type="dxa"/>
            <w:vAlign w:val="center"/>
          </w:tcPr>
          <w:p w14:paraId="58F059B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17ADBCEF"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7F35EA4C"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526A5EC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55C27A77"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0E10B56"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74E5375D" w14:textId="77777777" w:rsidR="00E27655" w:rsidRPr="006A6165" w:rsidRDefault="00E27655" w:rsidP="00481EED">
            <w:pPr>
              <w:keepLines/>
              <w:widowControl/>
              <w:jc w:val="center"/>
              <w:rPr>
                <w:rFonts w:asciiTheme="minorHAnsi" w:hAnsiTheme="minorHAnsi" w:cstheme="minorHAnsi"/>
              </w:rPr>
            </w:pPr>
          </w:p>
        </w:tc>
      </w:tr>
      <w:tr w:rsidR="00E27655" w:rsidRPr="006A6165" w14:paraId="22DCD82D" w14:textId="1889E718" w:rsidTr="008B0B23">
        <w:tc>
          <w:tcPr>
            <w:tcW w:w="2026" w:type="dxa"/>
            <w:vAlign w:val="center"/>
          </w:tcPr>
          <w:p w14:paraId="6E655906"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41153CE1"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66CD6DC3"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71F8AC80"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6BFEA275" w14:textId="77777777" w:rsidR="00E27655" w:rsidRPr="006A6165" w:rsidRDefault="00E27655" w:rsidP="00481EED">
            <w:pPr>
              <w:keepLines/>
              <w:widowControl/>
              <w:jc w:val="center"/>
              <w:rPr>
                <w:rFonts w:asciiTheme="minorHAnsi" w:hAnsiTheme="minorHAnsi" w:cstheme="minorHAnsi"/>
              </w:rPr>
            </w:pPr>
          </w:p>
        </w:tc>
        <w:tc>
          <w:tcPr>
            <w:tcW w:w="2026" w:type="dxa"/>
            <w:vAlign w:val="center"/>
          </w:tcPr>
          <w:p w14:paraId="22AB5B5E" w14:textId="77777777" w:rsidR="00E27655" w:rsidRPr="006A6165" w:rsidRDefault="00E27655" w:rsidP="00481EED">
            <w:pPr>
              <w:keepLines/>
              <w:widowControl/>
              <w:jc w:val="center"/>
              <w:rPr>
                <w:rFonts w:asciiTheme="minorHAnsi" w:hAnsiTheme="minorHAnsi" w:cstheme="minorHAnsi"/>
              </w:rPr>
            </w:pPr>
          </w:p>
        </w:tc>
        <w:tc>
          <w:tcPr>
            <w:tcW w:w="2027" w:type="dxa"/>
            <w:vAlign w:val="center"/>
          </w:tcPr>
          <w:p w14:paraId="7D734461" w14:textId="77777777" w:rsidR="00E27655" w:rsidRPr="006A6165" w:rsidRDefault="00E27655" w:rsidP="00481EED">
            <w:pPr>
              <w:keepLines/>
              <w:widowControl/>
              <w:jc w:val="center"/>
              <w:rPr>
                <w:rFonts w:asciiTheme="minorHAnsi" w:hAnsiTheme="minorHAnsi" w:cstheme="minorHAnsi"/>
              </w:rPr>
            </w:pPr>
          </w:p>
        </w:tc>
      </w:tr>
    </w:tbl>
    <w:p w14:paraId="18F85EA0" w14:textId="1DB3EDE3" w:rsidR="00DF15E5" w:rsidRPr="0080553F" w:rsidRDefault="00DF15E5" w:rsidP="00481EED">
      <w:pPr>
        <w:keepLines/>
        <w:spacing w:before="220" w:after="120"/>
      </w:pPr>
    </w:p>
    <w:sectPr w:rsidR="00DF15E5" w:rsidRPr="0080553F" w:rsidSect="0079375A">
      <w:footerReference w:type="default" r:id="rId12"/>
      <w:footnotePr>
        <w:numRestart w:val="eachSect"/>
      </w:footnotePr>
      <w:pgSz w:w="16840" w:h="11907" w:orient="landscape"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290AC" w14:textId="77777777" w:rsidR="00832019" w:rsidRDefault="00832019" w:rsidP="006603F5">
      <w:r>
        <w:separator/>
      </w:r>
    </w:p>
  </w:endnote>
  <w:endnote w:type="continuationSeparator" w:id="0">
    <w:p w14:paraId="463BDC9D" w14:textId="77777777" w:rsidR="00832019" w:rsidRDefault="00832019"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CCEF" w14:textId="6747F57C" w:rsidR="00380F6D" w:rsidRDefault="00380F6D" w:rsidP="008F0AE7">
    <w:pPr>
      <w:pStyle w:val="Pieddepage"/>
      <w:jc w:val="center"/>
    </w:pPr>
    <w:r w:rsidRPr="00D85423">
      <w:rPr>
        <w:sz w:val="22"/>
        <w:szCs w:val="22"/>
      </w:rPr>
      <w:t xml:space="preserve">Assurance </w:t>
    </w:r>
    <w:r>
      <w:rPr>
        <w:sz w:val="22"/>
        <w:szCs w:val="22"/>
      </w:rPr>
      <w:t xml:space="preserve">« tous dommages aux </w:t>
    </w:r>
    <w:r w:rsidR="007860EB">
      <w:rPr>
        <w:sz w:val="22"/>
        <w:szCs w:val="22"/>
      </w:rPr>
      <w:t xml:space="preserve">objets </w:t>
    </w:r>
    <w:r>
      <w:rPr>
        <w:sz w:val="22"/>
        <w:szCs w:val="22"/>
      </w:rPr>
      <w:t xml:space="preserve">précieux et/ou d’exposition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174581">
      <w:rPr>
        <w:noProof/>
        <w:sz w:val="22"/>
        <w:szCs w:val="22"/>
      </w:rPr>
      <w:t>4</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4C89" w14:textId="119D9DDD" w:rsidR="0079375A" w:rsidRDefault="0079375A" w:rsidP="008F0AE7">
    <w:pPr>
      <w:pStyle w:val="Pieddepage"/>
      <w:jc w:val="center"/>
    </w:pPr>
    <w:r w:rsidRPr="00D85423">
      <w:rPr>
        <w:sz w:val="22"/>
        <w:szCs w:val="22"/>
      </w:rPr>
      <w:t xml:space="preserve">Assurance </w:t>
    </w:r>
    <w:r>
      <w:rPr>
        <w:sz w:val="22"/>
        <w:szCs w:val="22"/>
      </w:rPr>
      <w:t xml:space="preserve">« tous dommages aux </w:t>
    </w:r>
    <w:r w:rsidR="007860EB">
      <w:rPr>
        <w:sz w:val="22"/>
        <w:szCs w:val="22"/>
      </w:rPr>
      <w:t xml:space="preserve">objets </w:t>
    </w:r>
    <w:r>
      <w:rPr>
        <w:sz w:val="22"/>
        <w:szCs w:val="22"/>
      </w:rPr>
      <w:t>précieux et/ou d’exposition » - Annexe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29F0B" w14:textId="77777777" w:rsidR="00832019" w:rsidRDefault="00832019" w:rsidP="006603F5">
      <w:r>
        <w:separator/>
      </w:r>
    </w:p>
  </w:footnote>
  <w:footnote w:type="continuationSeparator" w:id="0">
    <w:p w14:paraId="093521C2" w14:textId="77777777" w:rsidR="00832019" w:rsidRDefault="00832019"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F4B6B5E"/>
    <w:multiLevelType w:val="hybridMultilevel"/>
    <w:tmpl w:val="88BE8832"/>
    <w:lvl w:ilvl="0" w:tplc="FFFAB9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1"/>
  </w:num>
  <w:num w:numId="9">
    <w:abstractNumId w:val="16"/>
  </w:num>
  <w:num w:numId="10">
    <w:abstractNumId w:val="18"/>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4A0"/>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05"/>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20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48D"/>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4E2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4AF"/>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581"/>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0C"/>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AF1"/>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81A"/>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409"/>
    <w:rsid w:val="00314729"/>
    <w:rsid w:val="003147B7"/>
    <w:rsid w:val="00314F01"/>
    <w:rsid w:val="0031542A"/>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862"/>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0F6D"/>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563"/>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38C"/>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C83"/>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467"/>
    <w:rsid w:val="003F554E"/>
    <w:rsid w:val="003F58EE"/>
    <w:rsid w:val="003F5B47"/>
    <w:rsid w:val="003F5BF9"/>
    <w:rsid w:val="003F6275"/>
    <w:rsid w:val="003F6616"/>
    <w:rsid w:val="003F68E0"/>
    <w:rsid w:val="003F6CDF"/>
    <w:rsid w:val="003F75BD"/>
    <w:rsid w:val="003F763D"/>
    <w:rsid w:val="003F7892"/>
    <w:rsid w:val="003F7CD4"/>
    <w:rsid w:val="003F7CF6"/>
    <w:rsid w:val="003F7EC8"/>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25"/>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1EED"/>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C46"/>
    <w:rsid w:val="005C6F68"/>
    <w:rsid w:val="005C750A"/>
    <w:rsid w:val="005C76DB"/>
    <w:rsid w:val="005C7A79"/>
    <w:rsid w:val="005C7BBF"/>
    <w:rsid w:val="005D001A"/>
    <w:rsid w:val="005D00ED"/>
    <w:rsid w:val="005D0558"/>
    <w:rsid w:val="005D082C"/>
    <w:rsid w:val="005D090A"/>
    <w:rsid w:val="005D0C24"/>
    <w:rsid w:val="005D13CB"/>
    <w:rsid w:val="005D2323"/>
    <w:rsid w:val="005D23EA"/>
    <w:rsid w:val="005D25E5"/>
    <w:rsid w:val="005D26DD"/>
    <w:rsid w:val="005D311D"/>
    <w:rsid w:val="005D31F9"/>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246"/>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3F"/>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400"/>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48D"/>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0D6"/>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0EB"/>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5A"/>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53F"/>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27CBE"/>
    <w:rsid w:val="008302A8"/>
    <w:rsid w:val="00830713"/>
    <w:rsid w:val="008311D1"/>
    <w:rsid w:val="008314DB"/>
    <w:rsid w:val="00831915"/>
    <w:rsid w:val="00831F5D"/>
    <w:rsid w:val="00832019"/>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44D"/>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4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3D1"/>
    <w:rsid w:val="008647C8"/>
    <w:rsid w:val="00864E5C"/>
    <w:rsid w:val="00864FC4"/>
    <w:rsid w:val="00865BFF"/>
    <w:rsid w:val="0086601A"/>
    <w:rsid w:val="00866BB7"/>
    <w:rsid w:val="00866DC7"/>
    <w:rsid w:val="00866EF2"/>
    <w:rsid w:val="00867500"/>
    <w:rsid w:val="00867692"/>
    <w:rsid w:val="00867A53"/>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0B23"/>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AE7"/>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3A"/>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3FA9"/>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69"/>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5CC"/>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2BDC"/>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03B"/>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88F"/>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1FBE"/>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1F3"/>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84C"/>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3CD"/>
    <w:rsid w:val="00D14689"/>
    <w:rsid w:val="00D14E8A"/>
    <w:rsid w:val="00D1503D"/>
    <w:rsid w:val="00D1506E"/>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318"/>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1819"/>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5E5"/>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477"/>
    <w:rsid w:val="00E2491C"/>
    <w:rsid w:val="00E24AEE"/>
    <w:rsid w:val="00E24D97"/>
    <w:rsid w:val="00E250B0"/>
    <w:rsid w:val="00E25131"/>
    <w:rsid w:val="00E254C8"/>
    <w:rsid w:val="00E25B8D"/>
    <w:rsid w:val="00E25CE1"/>
    <w:rsid w:val="00E267EC"/>
    <w:rsid w:val="00E27655"/>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526"/>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45C"/>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1F14"/>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06E"/>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autoRedefine/>
    <w:semiHidden/>
    <w:rsid w:val="00EF445C"/>
    <w:pPr>
      <w:widowControl/>
      <w:numPr>
        <w:ilvl w:val="10"/>
      </w:numPr>
      <w:ind w:left="283" w:hanging="283"/>
      <w:jc w:val="left"/>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B2841-21BB-456E-B47D-E64945A0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Pages>
  <Words>961</Words>
  <Characters>5289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Jonathan HILD</cp:lastModifiedBy>
  <cp:revision>13</cp:revision>
  <dcterms:created xsi:type="dcterms:W3CDTF">2024-06-04T07:56:00Z</dcterms:created>
  <dcterms:modified xsi:type="dcterms:W3CDTF">2025-04-15T15:32:00Z</dcterms:modified>
</cp:coreProperties>
</file>